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76" w:lineRule="auto"/>
        <w:tabs>
          <w:tab w:val="left" w:pos="8903" w:leader="none"/>
        </w:tabs>
      </w:pPr>
      <w:r>
        <w:rPr>
          <w:b/>
          <w:sz w:val="24"/>
          <w:szCs w:val="24"/>
        </w:rPr>
        <w:t xml:space="preserve">                                                                      </w:t>
      </w:r>
      <w:r/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оказание Услуг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1051"/>
          <w:sz w:val="26"/>
        </w:rPr>
      </w:pPr>
      <w:r>
        <w:rPr>
          <w:rFonts w:eastAsia="Calibri"/>
          <w:sz w:val="26"/>
          <w:szCs w:val="26"/>
        </w:rPr>
        <w:t xml:space="preserve">«</w:t>
      </w:r>
      <w:r>
        <w:rPr>
          <w:b/>
          <w:bCs/>
          <w:sz w:val="24"/>
          <w:szCs w:val="24"/>
          <w:highlight w:val="none"/>
          <w:lang w:val="en-US"/>
        </w:rPr>
        <w:t xml:space="preserve">ОКПД2 71.20.12.000</w:t>
      </w:r>
      <w:r>
        <w:rPr>
          <w:b/>
          <w:bCs/>
          <w:sz w:val="24"/>
          <w:szCs w:val="24"/>
          <w:highlight w:val="none"/>
          <w:lang w:val="en-US"/>
        </w:rPr>
        <w:t xml:space="preserve"> </w:t>
      </w:r>
      <w:r>
        <w:rPr>
          <w:rFonts w:eastAsia="Calibri"/>
          <w:b/>
          <w:sz w:val="26"/>
          <w:szCs w:val="26"/>
        </w:rPr>
        <w:t xml:space="preserve">Комплексное диагностическое обследование турбогенератора и трансформатора СП Нерюнгринская ГРЭС</w:t>
      </w:r>
      <w:r>
        <w:rPr>
          <w:rFonts w:eastAsia="Calibri"/>
          <w:b/>
          <w:sz w:val="26"/>
          <w:szCs w:val="26"/>
        </w:rPr>
        <w:t xml:space="preserve">»</w:t>
      </w:r>
      <w:r>
        <w:rPr>
          <w:rStyle w:val="1051"/>
          <w:sz w:val="26"/>
        </w:rPr>
      </w:r>
      <w:r>
        <w:rPr>
          <w:rStyle w:val="1051"/>
          <w:sz w:val="26"/>
        </w:rPr>
      </w:r>
    </w:p>
    <w:p>
      <w:pPr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Лот №  </w:t>
      </w:r>
      <w:r>
        <w:rPr>
          <w:rFonts w:eastAsia="Calibri"/>
          <w:b/>
        </w:rPr>
        <w:t xml:space="preserve">41023028-ЭКСП ПРОД-2026-ДГК-НерГРЭС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98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54646395" w:anchor="_Toc54646395" w:history="1">
        <w:r>
          <w:rPr>
            <w:rStyle w:val="990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90"/>
          </w:rPr>
          <w:t xml:space="preserve">Общие сведения</w:t>
        </w:r>
        <w:r>
          <w:tab/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0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6" w:anchor="_Toc54646396" w:history="1">
        <w:r>
          <w:rPr>
            <w:rStyle w:val="990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Обозначения и сокращения</w:t>
        </w:r>
        <w:r>
          <w:tab/>
        </w:r>
        <w:r>
          <w:rPr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0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7" w:anchor="_Toc54646397" w:history="1">
        <w:r>
          <w:rPr>
            <w:rStyle w:val="990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Наименование закупаемой продукции</w:t>
        </w:r>
        <w:r>
          <w:tab/>
        </w:r>
        <w:r>
          <w:rPr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0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lang w:val="en-US"/>
        </w:rPr>
      </w:pPr>
      <w:r/>
      <w:hyperlink w:tooltip="#_Toc54646398" w:anchor="_Toc54646398" w:history="1">
        <w:r>
          <w:rPr>
            <w:rStyle w:val="990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Цель выполнения услуг </w:t>
        </w:r>
        <w:r>
          <w:tab/>
        </w:r>
        <w:r>
          <w:rPr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</w:p>
    <w:p>
      <w:pPr>
        <w:pStyle w:val="988"/>
        <w:tabs>
          <w:tab w:val="right" w:pos="9911" w:leader="dot"/>
        </w:tabs>
      </w:pPr>
      <w:r/>
      <w:hyperlink w:tooltip="#_Toc54643699" w:anchor="_Toc54643699" w:history="1">
        <w:r>
          <w:rPr>
            <w:rStyle w:val="990"/>
          </w:rPr>
          <w:t xml:space="preserve">Таблица 1. Перечень объектов заказчика</w:t>
        </w:r>
        <w:r>
          <w:tab/>
          <w:t xml:space="preserve">4</w:t>
        </w:r>
      </w:hyperlink>
      <w:r/>
      <w:r/>
    </w:p>
    <w:p>
      <w:pPr>
        <w:pStyle w:val="1001"/>
        <w:rPr>
          <w:lang w:val="en-US"/>
        </w:rPr>
      </w:pPr>
      <w:r/>
      <w:hyperlink w:tooltip="#_Toc54643700" w:anchor="_Toc54643700" w:history="1">
        <w:r>
          <w:rPr>
            <w:rStyle w:val="990"/>
            <w:iCs/>
          </w:rPr>
          <w:t xml:space="preserve">1.</w:t>
        </w:r>
        <w:r>
          <w:rPr>
            <w:rStyle w:val="990"/>
            <w:iCs/>
            <w:lang w:val="en-US"/>
          </w:rPr>
          <w:t xml:space="preserve">4</w:t>
        </w:r>
        <w:r>
          <w:rPr>
            <w:rStyle w:val="990"/>
            <w:iCs/>
          </w:rPr>
          <w:t xml:space="preserve">.</w:t>
        </w:r>
        <w:r>
          <w:rPr>
            <w:rStyle w:val="990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</w:hyperlink>
      <w:r>
        <w:rPr>
          <w:rStyle w:val="990"/>
        </w:rPr>
        <w:t xml:space="preserve">……………………………………………………………………………………………………………...</w:t>
      </w:r>
      <w:r>
        <w:rPr>
          <w:lang w:val="en-US"/>
        </w:rPr>
        <w:t xml:space="preserve">4</w:t>
      </w:r>
      <w:r>
        <w:rPr>
          <w:lang w:val="en-US"/>
        </w:rPr>
      </w:r>
      <w:r>
        <w:rPr>
          <w:lang w:val="en-US"/>
        </w:rPr>
      </w:r>
    </w:p>
    <w:p>
      <w:pPr>
        <w:pStyle w:val="98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3" w:anchor="_Toc54646403" w:history="1">
        <w:r>
          <w:rPr>
            <w:rStyle w:val="990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90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_Toc54646403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0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4" w:anchor="_Toc54646404" w:history="1">
        <w:r>
          <w:rPr>
            <w:rStyle w:val="990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Требования к объемам и срокам оказания услуг</w:t>
        </w:r>
        <w:r>
          <w:tab/>
        </w:r>
      </w:hyperlink>
      <w:r>
        <w:t xml:space="preserve">5</w:t>
      </w:r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9"/>
        <w:ind w:firstLine="28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lang w:val="en-US"/>
        </w:rPr>
      </w:pPr>
      <w:r/>
      <w:hyperlink w:tooltip="#_Toc54646405" w:anchor="_Toc54646405" w:history="1">
        <w:r>
          <w:rPr>
            <w:rStyle w:val="990"/>
          </w:rPr>
          <w:t xml:space="preserve">2.1.</w:t>
        </w:r>
        <w:r>
          <w:rPr>
            <w:rStyle w:val="990"/>
            <w:lang w:val="en-US"/>
          </w:rPr>
          <w:t xml:space="preserve">1</w:t>
        </w:r>
        <w:r>
          <w:rPr>
            <w:rStyle w:val="990"/>
          </w:rPr>
          <w:t xml:space="preserve">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Требования к перечню и объемам оказания услуг</w:t>
        </w:r>
        <w:r>
          <w:tab/>
        </w:r>
      </w:hyperlink>
      <w:r>
        <w:t xml:space="preserve">5</w:t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</w:p>
    <w:p>
      <w:pPr>
        <w:pStyle w:val="98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6" w:anchor="_Toc54646406" w:history="1">
        <w:r>
          <w:rPr>
            <w:rStyle w:val="990"/>
          </w:rPr>
          <w:t xml:space="preserve">Таблица 2. Перечень и объем </w:t>
        </w:r>
        <w:r>
          <w:rPr>
            <w:rStyle w:val="990"/>
          </w:rPr>
          <w:t xml:space="preserve">оказываемых услуг</w:t>
        </w:r>
        <w:r>
          <w:tab/>
        </w:r>
      </w:hyperlink>
      <w:r>
        <w:t xml:space="preserve">5</w:t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89"/>
        <w:ind w:firstLine="28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7" w:anchor="_Toc54646407" w:history="1">
        <w:r>
          <w:rPr>
            <w:rStyle w:val="990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Требования к срокам </w:t>
        </w:r>
        <w:r>
          <w:rPr>
            <w:rStyle w:val="990"/>
          </w:rPr>
          <w:t xml:space="preserve">оказания услуг</w:t>
        </w:r>
        <w:r>
          <w:tab/>
        </w:r>
      </w:hyperlink>
      <w:r>
        <w:t xml:space="preserve">5</w:t>
      </w:r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8" w:anchor="_Toc54646408" w:history="1">
        <w:r>
          <w:rPr>
            <w:rStyle w:val="990"/>
          </w:rPr>
          <w:t xml:space="preserve">Таблица 3. Требования по срокам </w:t>
        </w:r>
        <w:r>
          <w:rPr>
            <w:rStyle w:val="990"/>
          </w:rPr>
          <w:t xml:space="preserve">оказания услуг</w:t>
        </w:r>
        <w:r>
          <w:tab/>
        </w:r>
      </w:hyperlink>
      <w:r>
        <w:t xml:space="preserve">5</w:t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01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9" w:anchor="_Toc54646409" w:history="1">
        <w:r>
          <w:rPr>
            <w:rStyle w:val="990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90"/>
          </w:rPr>
          <w:t xml:space="preserve">Требования к качеству </w:t>
        </w:r>
        <w:r>
          <w:rPr>
            <w:rStyle w:val="990"/>
          </w:rPr>
          <w:t xml:space="preserve">услуг</w:t>
        </w:r>
        <w:r>
          <w:tab/>
        </w:r>
      </w:hyperlink>
      <w:r>
        <w:t xml:space="preserve">6</w:t>
      </w:r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0" w:anchor="_Toc54646410" w:history="1">
        <w:r>
          <w:rPr>
            <w:rStyle w:val="990"/>
          </w:rPr>
          <w:t xml:space="preserve">Таблица 4. Требования к качеству </w:t>
        </w:r>
        <w:r>
          <w:rPr>
            <w:rStyle w:val="990"/>
          </w:rPr>
          <w:t xml:space="preserve">услуг</w:t>
        </w:r>
        <w:r>
          <w:tab/>
          <w:t xml:space="preserve">6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8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1" w:anchor="_Toc54646411" w:history="1">
        <w:r>
          <w:rPr>
            <w:rStyle w:val="990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90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_Toc54646411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8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2" w:anchor="_Toc54646412" w:history="1">
        <w:r>
          <w:rPr>
            <w:rStyle w:val="990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90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_Toc54646412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8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3" w:anchor="_Toc54646413" w:history="1">
        <w:r>
          <w:rPr>
            <w:rStyle w:val="990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90"/>
            <w:iCs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_Toc54646413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8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771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</w:rPr>
        <w:fldChar w:fldCharType="end"/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70"/>
        <w:ind w:left="357" w:hanging="357"/>
        <w:jc w:val="center"/>
        <w:keepLines/>
        <w:rPr>
          <w:caps/>
        </w:rPr>
      </w:pPr>
      <w:r/>
      <w:bookmarkStart w:id="0" w:name="_Toc51339692"/>
      <w:r/>
      <w:bookmarkStart w:id="1" w:name="_Toc54646395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773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051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51"/>
          <w:b w:val="0"/>
          <w:bCs/>
          <w:iCs/>
          <w:sz w:val="26"/>
          <w:szCs w:val="26"/>
        </w:rPr>
      </w:r>
      <w:r>
        <w:rPr>
          <w:rStyle w:val="1051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1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1051"/>
                <w:b w:val="0"/>
                <w:bCs/>
                <w:iCs/>
                <w:sz w:val="24"/>
                <w:szCs w:val="24"/>
              </w:rPr>
            </w:r>
            <w:r>
              <w:rPr>
                <w:rStyle w:val="1051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51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АО «ДГК»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 «Дальневосточная генерирующая компания»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подразделение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НДТ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Свод правил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Стандарт организации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3"/>
      </w:pPr>
      <w:r/>
      <w:bookmarkStart w:id="5" w:name="_Toc54646397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51"/>
          <w:b w:val="0"/>
          <w:bCs/>
          <w:sz w:val="24"/>
          <w:szCs w:val="24"/>
        </w:rPr>
      </w:pPr>
      <w:r>
        <w:rPr>
          <w:bCs/>
          <w:color w:val="262626" w:themeColor="text1" w:themeTint="D9"/>
          <w:sz w:val="24"/>
          <w:szCs w:val="24"/>
        </w:rPr>
        <w:t xml:space="preserve">«</w:t>
      </w:r>
      <w:r>
        <w:rPr>
          <w:bCs/>
          <w:color w:val="262626" w:themeColor="text1" w:themeTint="D9"/>
          <w:sz w:val="24"/>
          <w:szCs w:val="24"/>
        </w:rPr>
        <w:t xml:space="preserve">Комплексное диагностическое обследование турбогенератора и трансформатора СП Нерюнгринская ГРЭС</w:t>
      </w:r>
      <w:r>
        <w:rPr>
          <w:bCs/>
          <w:color w:val="262626" w:themeColor="text1" w:themeTint="D9"/>
          <w:sz w:val="24"/>
          <w:szCs w:val="24"/>
        </w:rPr>
        <w:t xml:space="preserve">)»</w:t>
      </w:r>
      <w:r>
        <w:rPr>
          <w:rFonts w:eastAsia="Calibri"/>
          <w:sz w:val="24"/>
          <w:szCs w:val="24"/>
        </w:rPr>
        <w:t xml:space="preserve">. </w:t>
      </w:r>
      <w:r>
        <w:rPr>
          <w:rStyle w:val="1051"/>
          <w:b w:val="0"/>
          <w:bCs/>
          <w:sz w:val="24"/>
          <w:szCs w:val="24"/>
        </w:rPr>
      </w:r>
      <w:r>
        <w:rPr>
          <w:rStyle w:val="1051"/>
          <w:b w:val="0"/>
          <w:bCs/>
          <w:sz w:val="24"/>
          <w:szCs w:val="24"/>
        </w:rPr>
      </w:r>
    </w:p>
    <w:p>
      <w:pPr>
        <w:pStyle w:val="773"/>
        <w:ind w:left="431" w:hanging="431"/>
        <w:spacing w:before="240"/>
      </w:pPr>
      <w:r/>
      <w:bookmarkStart w:id="6" w:name="_Toc46743507"/>
      <w:r>
        <w:t xml:space="preserve">Цель </w:t>
      </w:r>
      <w:bookmarkEnd w:id="6"/>
      <w:r>
        <w:t xml:space="preserve">выполнения услуг</w:t>
      </w:r>
      <w:r>
        <w:t xml:space="preserve">. </w:t>
      </w:r>
      <w:r/>
    </w:p>
    <w:p>
      <w:pPr>
        <w:pStyle w:val="773"/>
        <w:numPr>
          <w:ilvl w:val="0"/>
          <w:numId w:val="0"/>
        </w:numPr>
        <w:ind w:left="431"/>
        <w:spacing w:before="240"/>
        <w:rPr>
          <w:b w:val="0"/>
          <w:color w:val="262626" w:themeColor="text1" w:themeTint="D9"/>
        </w:rPr>
      </w:pPr>
      <w:r>
        <w:rPr>
          <w:b w:val="0"/>
          <w:color w:val="262626" w:themeColor="text1" w:themeTint="D9"/>
        </w:rPr>
        <w:t xml:space="preserve">Целью услуг является </w:t>
      </w:r>
      <w:r>
        <w:rPr>
          <w:b w:val="0"/>
          <w:color w:val="262626" w:themeColor="text1" w:themeTint="D9"/>
        </w:rPr>
        <w:t xml:space="preserve">своевременно обнаружить развивающиеся дефекты, разработать мероприятия по их устранению</w:t>
      </w:r>
      <w:r>
        <w:rPr>
          <w:b w:val="0"/>
          <w:color w:val="262626" w:themeColor="text1" w:themeTint="D9"/>
        </w:rPr>
        <w:t xml:space="preserve">.</w:t>
      </w:r>
      <w:r>
        <w:rPr>
          <w:b w:val="0"/>
          <w:color w:val="262626" w:themeColor="text1" w:themeTint="D9"/>
        </w:rPr>
      </w:r>
      <w:r>
        <w:rPr>
          <w:b w:val="0"/>
          <w:color w:val="262626" w:themeColor="text1" w:themeTint="D9"/>
        </w:rPr>
      </w:r>
    </w:p>
    <w:p>
      <w:pPr>
        <w:pStyle w:val="770"/>
        <w:numPr>
          <w:ilvl w:val="0"/>
          <w:numId w:val="0"/>
        </w:numPr>
        <w:keepLines/>
        <w:spacing w:before="240"/>
        <w:rPr>
          <w:szCs w:val="24"/>
        </w:rPr>
      </w:pPr>
      <w:r>
        <w:rPr>
          <w:sz w:val="24"/>
          <w:szCs w:val="24"/>
        </w:rPr>
        <w:t xml:space="preserve">Таблица 1. Перечень объектов заказчика</w:t>
      </w:r>
      <w:r>
        <w:rPr>
          <w:szCs w:val="24"/>
        </w:rPr>
      </w:r>
      <w:r>
        <w:rPr>
          <w:szCs w:val="24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2155"/>
        <w:gridCol w:w="2381"/>
        <w:gridCol w:w="2013"/>
      </w:tblGrid>
      <w:tr>
        <w:tblPrEx/>
        <w:trPr>
          <w:trHeight w:val="428"/>
        </w:trPr>
        <w:tc>
          <w:tcPr>
            <w:tcW w:w="81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01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208"/>
        </w:trPr>
        <w:tc>
          <w:tcPr>
            <w:tcW w:w="817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r>
              <w:rPr>
                <w:bCs/>
                <w:color w:val="262626" w:themeColor="text1" w:themeTint="D9"/>
                <w:sz w:val="24"/>
                <w:szCs w:val="24"/>
              </w:rPr>
              <w:t xml:space="preserve">Комплексное диагностическое обследование турбогенератора и трансформатора СП Нерюнгринская ГРЭС </w:t>
            </w:r>
            <w:r/>
          </w:p>
        </w:tc>
        <w:tc>
          <w:tcPr>
            <w:shd w:val="clear" w:color="auto" w:fill="auto"/>
            <w:tcW w:w="21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Республика Саха (Якутия), Нерюнгри</w:t>
            </w:r>
            <w:r>
              <w:rPr>
                <w:sz w:val="24"/>
              </w:rPr>
              <w:t xml:space="preserve">нский район, п. Серебряный Бор. </w:t>
            </w:r>
            <w:r>
              <w:rPr>
                <w:sz w:val="24"/>
              </w:rPr>
              <w:t xml:space="preserve">СП «Нерюнгринская ГРЭС» АО «ДГК»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rPr>
                <w:sz w:val="24"/>
                <w:highlight w:val="white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Турбинное отделение машинн</w:t>
            </w:r>
            <w:r>
              <w:rPr>
                <w:sz w:val="24"/>
                <w:highlight w:val="white"/>
              </w:rPr>
              <w:t xml:space="preserve">ого зала Н</w:t>
            </w:r>
            <w:r>
              <w:rPr>
                <w:sz w:val="24"/>
                <w:highlight w:val="white"/>
              </w:rPr>
              <w:t xml:space="preserve">ерюнгринской </w:t>
            </w:r>
            <w:r>
              <w:rPr>
                <w:sz w:val="24"/>
                <w:highlight w:val="white"/>
              </w:rPr>
              <w:t xml:space="preserve">ГРЭС </w:t>
            </w:r>
            <w:r>
              <w:rPr>
                <w:sz w:val="24"/>
                <w:highlight w:val="white"/>
              </w:rPr>
              <w:t xml:space="preserve">ТГ 2 ти</w:t>
            </w:r>
            <w:r>
              <w:rPr>
                <w:sz w:val="24"/>
                <w:highlight w:val="white"/>
              </w:rPr>
              <w:t xml:space="preserve">па ТГВ - 200-2М-У3</w:t>
            </w:r>
            <w:r>
              <w:rPr>
                <w:sz w:val="24"/>
                <w:highlight w:val="white"/>
              </w:rPr>
              <w:t xml:space="preserve">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- </w:t>
            </w:r>
            <w:r>
              <w:rPr>
                <w:sz w:val="24"/>
                <w:highlight w:val="white"/>
              </w:rPr>
              <w:t xml:space="preserve">Пристанционный узел Нерюнгринской ГРЭС </w:t>
            </w:r>
            <w:r>
              <w:rPr>
                <w:sz w:val="24"/>
                <w:highlight w:val="white"/>
              </w:rPr>
              <w:t xml:space="preserve">ТС</w:t>
            </w:r>
            <w:r>
              <w:rPr>
                <w:sz w:val="24"/>
                <w:highlight w:val="white"/>
              </w:rPr>
              <w:t xml:space="preserve">Н-2 типа </w:t>
            </w:r>
            <w:r>
              <w:rPr>
                <w:sz w:val="24"/>
                <w:highlight w:val="white"/>
              </w:rPr>
              <w:t xml:space="preserve">ТРДНС-32000/15-73У1</w:t>
            </w:r>
            <w:r>
              <w:rPr>
                <w:sz w:val="24"/>
                <w:highlight w:val="white"/>
              </w:rPr>
              <w:t xml:space="preserve">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shd w:val="clear" w:color="auto" w:fill="auto"/>
            <w:tcW w:w="201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73"/>
        <w:numPr>
          <w:ilvl w:val="0"/>
          <w:numId w:val="0"/>
        </w:numPr>
      </w:pPr>
      <w:r>
        <w:t xml:space="preserve">1.</w:t>
      </w:r>
      <w:r>
        <w:t xml:space="preserve">4</w:t>
      </w:r>
      <w:r>
        <w:t xml:space="preserve">. </w:t>
      </w:r>
      <w:bookmarkStart w:id="9" w:name="_Toc46743509"/>
      <w:r/>
      <w:bookmarkStart w:id="10" w:name="_Hlk49857604"/>
      <w:r/>
      <w:bookmarkStart w:id="11" w:name="_Toc54646401"/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/>
      <w:bookmarkEnd w:id="10"/>
      <w:r>
        <w:t xml:space="preserve"> </w:t>
      </w:r>
      <w:r/>
    </w:p>
    <w:p>
      <w:pPr>
        <w:pStyle w:val="773"/>
        <w:numPr>
          <w:ilvl w:val="0"/>
          <w:numId w:val="0"/>
        </w:numPr>
        <w:ind w:firstLine="708"/>
        <w:jc w:val="both"/>
        <w:rPr>
          <w:b w:val="0"/>
          <w:bCs w:val="0"/>
        </w:rPr>
      </w:pPr>
      <w:r>
        <w:rPr>
          <w:b w:val="0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оказания услуги по Договору.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773"/>
        <w:numPr>
          <w:ilvl w:val="0"/>
          <w:numId w:val="0"/>
        </w:numPr>
        <w:ind w:firstLine="708"/>
        <w:jc w:val="both"/>
        <w:rPr>
          <w:b w:val="0"/>
          <w:bCs w:val="0"/>
        </w:rPr>
      </w:pPr>
      <w:r>
        <w:rPr>
          <w:b w:val="0"/>
        </w:rPr>
      </w:r>
      <w:r>
        <w:rPr>
          <w:b w:val="0"/>
        </w:rPr>
        <w:t xml:space="preserve">При наличии техническая документация (характеристики, паспорта, чертежи, схемы, проектная документация и др.) предоставляются Заказчиком по запросу Исполнителя.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both"/>
      </w:pPr>
      <w:r>
        <w:rPr>
          <w:sz w:val="24"/>
        </w:rPr>
        <w:t xml:space="preserve">            На предприятии действует пропускной режим, Заказчик обеспечивает Подрядчику выдачу пропуска</w:t>
      </w:r>
      <w:r/>
    </w:p>
    <w:p>
      <w:pPr>
        <w:pStyle w:val="770"/>
        <w:ind w:left="357" w:hanging="357"/>
        <w:jc w:val="center"/>
        <w:keepLines/>
        <w:rPr>
          <w:iCs/>
          <w:caps/>
        </w:rPr>
      </w:pPr>
      <w:r/>
      <w:bookmarkStart w:id="13" w:name="_Toc51339693"/>
      <w:r/>
      <w:bookmarkStart w:id="14" w:name="_Toc54646403"/>
      <w:r/>
      <w:bookmarkStart w:id="15" w:name="_Toc50125126"/>
      <w:r/>
      <w:bookmarkEnd w:id="11"/>
      <w:r>
        <w:rPr>
          <w:iCs/>
        </w:rPr>
        <w:t xml:space="preserve">Требования к продукции</w:t>
      </w:r>
      <w:bookmarkEnd w:id="13"/>
      <w:r/>
      <w:bookmarkEnd w:id="14"/>
      <w:r>
        <w:rPr>
          <w:iCs/>
          <w:caps/>
        </w:rPr>
      </w:r>
      <w:r>
        <w:rPr>
          <w:iCs/>
          <w:caps/>
        </w:rPr>
      </w:r>
    </w:p>
    <w:p>
      <w:pPr>
        <w:pStyle w:val="773"/>
      </w:pPr>
      <w:r>
        <w:t xml:space="preserve">Требования к объемам и срокам оказания услуг</w:t>
      </w:r>
      <w:r/>
    </w:p>
    <w:p>
      <w:pPr>
        <w:pStyle w:val="772"/>
        <w:ind w:left="709" w:hanging="709"/>
      </w:pPr>
      <w:r>
        <w:t xml:space="preserve">Требования к перечню и объемам услуг</w:t>
      </w:r>
      <w:r/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1339695"/>
      <w:r>
        <w:rPr>
          <w:sz w:val="24"/>
          <w:szCs w:val="24"/>
        </w:rPr>
        <w:t xml:space="preserve">Таблица 2. Перечень </w:t>
      </w:r>
      <w:bookmarkEnd w:id="16"/>
      <w:r>
        <w:rPr>
          <w:sz w:val="24"/>
          <w:szCs w:val="24"/>
        </w:rPr>
        <w:t xml:space="preserve">и объем оказываемых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6"/>
        <w:gridCol w:w="1957"/>
        <w:gridCol w:w="2157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 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п/п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Наименование услуг/этапа услуг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Единица 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Количество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Техническое диагностирование </w:t>
            </w:r>
            <w:r>
              <w:rPr>
                <w:sz w:val="22"/>
                <w:highlight w:val="white"/>
              </w:rPr>
              <w:t xml:space="preserve">турбогенератора </w:t>
            </w:r>
            <w:r>
              <w:rPr>
                <w:sz w:val="24"/>
                <w:highlight w:val="white"/>
              </w:rPr>
              <w:t xml:space="preserve">ТГ 2 ти</w:t>
            </w:r>
            <w:r>
              <w:rPr>
                <w:sz w:val="24"/>
                <w:highlight w:val="white"/>
              </w:rPr>
              <w:t xml:space="preserve">па ТГВ - 200-2М-У3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</w:t>
            </w:r>
            <w:r>
              <w:rPr>
                <w:sz w:val="22"/>
              </w:rPr>
              <w:t xml:space="preserve">т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2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6" w:type="dxa"/>
            <w:textDirection w:val="lrTb"/>
            <w:noWrap w:val="false"/>
          </w:tcPr>
          <w:p>
            <w:pPr>
              <w:rPr>
                <w:bCs/>
                <w:color w:val="262626"/>
                <w:sz w:val="22"/>
                <w:szCs w:val="24"/>
                <w:highlight w:val="white"/>
              </w:rPr>
            </w:pPr>
            <w:r>
              <w:rPr>
                <w:bCs/>
                <w:color w:val="262626"/>
                <w:sz w:val="22"/>
                <w:szCs w:val="24"/>
                <w:highlight w:val="white"/>
              </w:rPr>
            </w:r>
            <w:r>
              <w:rPr>
                <w:sz w:val="22"/>
                <w:highlight w:val="white"/>
              </w:rPr>
              <w:t xml:space="preserve">Техническое диагностирование</w:t>
            </w:r>
            <w:r>
              <w:rPr>
                <w:bCs/>
                <w:color w:val="262626"/>
                <w:sz w:val="22"/>
                <w:szCs w:val="24"/>
                <w:highlight w:val="white"/>
              </w:rPr>
              <w:t xml:space="preserve"> </w:t>
            </w:r>
            <w:r>
              <w:rPr>
                <w:bCs/>
                <w:color w:val="262626"/>
                <w:sz w:val="22"/>
                <w:szCs w:val="24"/>
                <w:highlight w:val="white"/>
              </w:rPr>
              <w:t xml:space="preserve">трансформатора </w:t>
            </w:r>
            <w:r>
              <w:rPr>
                <w:sz w:val="24"/>
                <w:highlight w:val="white"/>
              </w:rPr>
              <w:t xml:space="preserve">ТС</w:t>
            </w:r>
            <w:r>
              <w:rPr>
                <w:sz w:val="24"/>
                <w:highlight w:val="white"/>
              </w:rPr>
              <w:t xml:space="preserve">Н-2 типа </w:t>
            </w:r>
            <w:r>
              <w:rPr>
                <w:sz w:val="24"/>
                <w:highlight w:val="white"/>
              </w:rPr>
              <w:t xml:space="preserve">ТРДНС-32000/15-73У1</w:t>
            </w:r>
            <w:r>
              <w:rPr>
                <w:sz w:val="24"/>
                <w:highlight w:val="white"/>
              </w:rPr>
              <w:t xml:space="preserve">.</w:t>
            </w:r>
            <w:r>
              <w:rPr>
                <w:bCs/>
                <w:color w:val="262626"/>
                <w:sz w:val="22"/>
                <w:szCs w:val="24"/>
                <w:highlight w:val="white"/>
              </w:rPr>
            </w:r>
            <w:r>
              <w:rPr>
                <w:bCs/>
                <w:color w:val="262626"/>
                <w:sz w:val="22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шт.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1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</w:tc>
      </w:tr>
    </w:tbl>
    <w:p>
      <w:pPr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772"/>
        <w:rPr>
          <w:highlight w:val="white"/>
        </w:rPr>
      </w:pPr>
      <w:r/>
      <w:bookmarkStart w:id="18" w:name="_Toc51339696"/>
      <w:r>
        <w:t xml:space="preserve">Требова</w:t>
      </w:r>
      <w:r>
        <w:rPr>
          <w:highlight w:val="white"/>
        </w:rPr>
        <w:t xml:space="preserve">ния </w:t>
      </w:r>
      <w:bookmarkEnd w:id="18"/>
      <w:r>
        <w:rPr>
          <w:highlight w:val="white"/>
        </w:rPr>
        <w:t xml:space="preserve">к срокам оказания услуг</w:t>
      </w:r>
      <w:bookmarkEnd w:id="15"/>
      <w:r>
        <w:rPr>
          <w:highlight w:val="white"/>
        </w:rPr>
      </w:r>
      <w:r>
        <w:rPr>
          <w:highlight w:val="white"/>
        </w:rPr>
      </w:r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Таблица 3. Требования по срокам оказания услуг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864"/>
      </w:tblGrid>
      <w:tr>
        <w:tblPrEx/>
        <w:trPr/>
        <w:tc>
          <w:tcPr>
            <w:shd w:val="clear" w:color="auto" w:fill="auto"/>
            <w:tcW w:w="8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 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услуг/ этапа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началу срока выполнения услуг/ этапа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окончанию срока выполнения услуг/ этапа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3"/>
        </w:trPr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pStyle w:val="1020"/>
              <w:numPr>
                <w:ilvl w:val="0"/>
                <w:numId w:val="9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Турбогенератор </w:t>
            </w:r>
            <w:r>
              <w:rPr>
                <w:sz w:val="24"/>
                <w:highlight w:val="white"/>
              </w:rPr>
              <w:t xml:space="preserve">ТГ 2 ти</w:t>
            </w:r>
            <w:r>
              <w:rPr>
                <w:sz w:val="24"/>
                <w:highlight w:val="white"/>
              </w:rPr>
              <w:t xml:space="preserve">па ТГВ - 200-2М-У3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color w:val="262626" w:themeColor="text1" w:themeTint="D9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Cs/>
                <w:color w:val="262626" w:themeColor="text1" w:themeTint="D9"/>
                <w:sz w:val="24"/>
                <w:szCs w:val="24"/>
                <w:highlight w:val="white"/>
              </w:rPr>
              <w:t xml:space="preserve">Трансформатор </w:t>
            </w:r>
            <w:r>
              <w:rPr>
                <w:sz w:val="24"/>
                <w:highlight w:val="white"/>
              </w:rPr>
              <w:t xml:space="preserve">ТС</w:t>
            </w:r>
            <w:r>
              <w:rPr>
                <w:sz w:val="24"/>
                <w:highlight w:val="white"/>
              </w:rPr>
              <w:t xml:space="preserve">Н-2 типа </w:t>
            </w:r>
            <w:r>
              <w:rPr>
                <w:sz w:val="24"/>
                <w:highlight w:val="white"/>
              </w:rPr>
              <w:t xml:space="preserve">ТРДНС-32000/15-73У1</w:t>
            </w:r>
            <w:r>
              <w:rPr>
                <w:sz w:val="24"/>
                <w:highlight w:val="white"/>
              </w:rPr>
              <w:t xml:space="preserve">.</w:t>
            </w:r>
            <w:r>
              <w:rPr>
                <w:color w:val="262626" w:themeColor="text1" w:themeTint="D9"/>
                <w:sz w:val="24"/>
                <w:szCs w:val="24"/>
                <w:highlight w:val="white"/>
              </w:rPr>
            </w:r>
            <w:r>
              <w:rPr>
                <w:color w:val="262626" w:themeColor="text1" w:themeTint="D9"/>
                <w:sz w:val="24"/>
                <w:szCs w:val="24"/>
                <w:highlight w:val="whit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  <w:t xml:space="preserve">С даты заключения договора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jc w:val="center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п</w:t>
            </w:r>
            <w:r>
              <w:rPr>
                <w:sz w:val="24"/>
                <w:highlight w:val="white"/>
              </w:rPr>
              <w:t xml:space="preserve">о</w:t>
            </w:r>
            <w:r>
              <w:rPr>
                <w:sz w:val="24"/>
                <w:highlight w:val="white"/>
              </w:rPr>
              <w:t xml:space="preserve"> 30.10.2026г.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  <w:highlight w:val="white"/>
        </w:rPr>
        <w:outlineLvl w:val="0"/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jc w:val="both"/>
        <w:rPr>
          <w:i/>
          <w:sz w:val="24"/>
          <w:highlight w:val="white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i/>
          <w:sz w:val="24"/>
          <w:highlight w:val="white"/>
        </w:rPr>
      </w:r>
      <w:r>
        <w:rPr>
          <w:i/>
          <w:sz w:val="24"/>
          <w:highlight w:val="white"/>
        </w:rPr>
      </w:r>
      <w:r>
        <w:rPr>
          <w:i/>
          <w:sz w:val="24"/>
          <w:highlight w:val="white"/>
        </w:rPr>
      </w:r>
    </w:p>
    <w:p>
      <w:pPr>
        <w:pStyle w:val="773"/>
      </w:pPr>
      <w:r/>
      <w:bookmarkStart w:id="19" w:name="_Toc51339698"/>
      <w:r>
        <w:t xml:space="preserve">Требования к качеству услуг</w:t>
      </w:r>
      <w:r/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19"/>
      <w:r>
        <w:rPr>
          <w:sz w:val="24"/>
          <w:szCs w:val="24"/>
        </w:rPr>
        <w:t xml:space="preserve">качеству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tbl>
      <w:tblPr>
        <w:tblStyle w:val="977"/>
        <w:tblW w:w="150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552"/>
        <w:gridCol w:w="54"/>
        <w:gridCol w:w="1079"/>
        <w:gridCol w:w="3599"/>
        <w:gridCol w:w="2551"/>
        <w:gridCol w:w="2267"/>
        <w:gridCol w:w="2268"/>
      </w:tblGrid>
      <w:tr>
        <w:tblPrEx/>
        <w:trPr>
          <w:trHeight w:val="230"/>
        </w:trPr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6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8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right="6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60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467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6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11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оказанию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оказанию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pStyle w:val="1020"/>
              <w:numPr>
                <w:ilvl w:val="2"/>
                <w:numId w:val="11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2606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Услуги должны быть выполнены в соответствии с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техническим заданием (приложение № 1 к договору подряда)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, разработанным Исполнителем и согласованным Заказчиком (до начала выполнения услуг) программы проведения технического диагностирования, действующими регламентами и нормативно-технической документацией (НТД).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67" w:type="dxa"/>
            <w:vMerge w:val="restart"/>
            <w:textDirection w:val="lrTb"/>
            <w:noWrap w:val="false"/>
          </w:tcPr>
          <w:p>
            <w:pPr>
              <w:pStyle w:val="1045"/>
              <w:jc w:val="left"/>
              <w:keepNext w:val="0"/>
              <w:spacing w:before="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268" w:type="dxa"/>
            <w:vMerge w:val="restart"/>
            <w:textDirection w:val="lrTb"/>
            <w:noWrap w:val="false"/>
          </w:tcPr>
          <w:p>
            <w:pPr>
              <w:pStyle w:val="1045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2"/>
                <w:numId w:val="11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260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при выполнении </w:t>
            </w:r>
            <w:r>
              <w:rPr>
                <w:sz w:val="22"/>
                <w:szCs w:val="22"/>
              </w:rPr>
              <w:t xml:space="preserve">услуг</w:t>
            </w:r>
            <w:r>
              <w:rPr>
                <w:sz w:val="22"/>
                <w:szCs w:val="22"/>
              </w:rPr>
              <w:t xml:space="preserve"> норм и правил нормативно-технических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4678" w:type="dxa"/>
            <w:textDirection w:val="lrTb"/>
            <w:noWrap w:val="false"/>
          </w:tcPr>
          <w:p>
            <w:pPr>
              <w:jc w:val="both"/>
              <w:spacing w:before="0" w:before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1.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Турбогенератор </w:t>
            </w:r>
            <w:r>
              <w:rPr>
                <w:b/>
                <w:bCs/>
                <w:sz w:val="24"/>
                <w:highlight w:val="white"/>
              </w:rPr>
              <w:t xml:space="preserve">ТГ 2 ти</w:t>
            </w:r>
            <w:r>
              <w:rPr>
                <w:b/>
                <w:bCs/>
                <w:sz w:val="24"/>
                <w:highlight w:val="white"/>
              </w:rPr>
              <w:t xml:space="preserve">па ТГВ - 200-2М-У3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spacing w:before="0" w:beforeAutospacing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Оценка технического состояния проводится на основе обследования основных узлов турбогенератора во время </w:t>
            </w:r>
            <w:r>
              <w:rPr>
                <w:sz w:val="22"/>
                <w:szCs w:val="22"/>
              </w:rPr>
              <w:t xml:space="preserve">капитального ремонта  при  выведенном роторе, а также анализе эксплуатационной и ремонтной документации (результаты тепловых испытаний, данные контроля вибрации, суточные ведомости, журнал учета дефектов, протоколы испытаний, ремонтная документация и т.п.)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Проводимый комплекс диагностических работ включает в себя: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Сбор  и анализ эксплуатационной информации.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Измерение сопротивления изоляции обмотки статора.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Измерение сопротивления изоляции обмотки ротора.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Проверка обмоток ротора на отсутствие межвитковых замыканий.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Измерение полного сопротивления обмотки ротора.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Замер омических сопротивлений обмотки ротора постоянному току с проверкой пайки обмоток ротора.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Измерение сопротивления обмоток статора постоянному току.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Измерение сопротивления изоляции подшипников генератора.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Снятие характеристики трехфазного короткого замыкания.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Снятие характеристик холостого хода (включая испытание межвитковой изоляции).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Тепловые испытания турбогенератора.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Контроль вибрационного состояния.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Оценку плотности прессовки активной стали и выявление ослабленных зубцов крайних пакетов ультразвуковым методом.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Выявление местных </w:t>
            </w:r>
            <w:r>
              <w:rPr>
                <w:sz w:val="22"/>
                <w:szCs w:val="22"/>
              </w:rPr>
              <w:t xml:space="preserve">замыканий листов активной стали сердечника статора</w:t>
            </w:r>
            <w:r>
              <w:rPr>
                <w:sz w:val="22"/>
                <w:szCs w:val="22"/>
              </w:rPr>
              <w:t xml:space="preserve"> электромагнитным методом.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Эндоскопическое  обследование активной  стали и вентиляционных каналов сердечника статора.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Оценку  технического состояния  изоляции обмотки статора, системы крепления ее пазовых и лобовых частей осмотра с использованием технического эндоскопа.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Оценку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Оценку  технического состояния ротора на основании осмотра  кольцевых канавок галтелей и вентиляционных зубцов с использованием эндоскопа и лупы.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-Оценку технического состояния системы подвески сердечника </w:t>
            </w:r>
            <w:r>
              <w:rPr>
                <w:sz w:val="22"/>
                <w:szCs w:val="22"/>
              </w:rPr>
              <w:t xml:space="preserve">виброакустическим</w:t>
            </w:r>
            <w:r>
              <w:rPr>
                <w:sz w:val="22"/>
                <w:szCs w:val="22"/>
              </w:rPr>
              <w:t xml:space="preserve"> методом.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Контроль  состояния турбогенератора по уровню частичных разрядов.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Разработку рекомендаций  по ремонту активной стали.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Контроль качества  ремонта зубцов активной стали в процессе проведения работ    по уплотнению зубцов и восстановлению изоляции листов активной стали.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spacing w:before="0" w:beforeAutospacing="0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Обработка  полученных данных, анализ  результатов испытаний и измерений.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left="35"/>
              <w:jc w:val="both"/>
              <w:spacing w:before="0" w:beforeAutospacing="0"/>
              <w:tabs>
                <w:tab w:val="left" w:pos="34" w:leader="none"/>
                <w:tab w:val="left" w:pos="262" w:leader="none"/>
                <w:tab w:val="left" w:pos="45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- </w:t>
            </w:r>
            <w:r>
              <w:rPr>
                <w:sz w:val="22"/>
                <w:szCs w:val="22"/>
                <w:highlight w:val="none"/>
              </w:rPr>
              <w:t xml:space="preserve">Высоковольтные </w:t>
            </w:r>
            <w:r>
              <w:rPr>
                <w:sz w:val="22"/>
                <w:szCs w:val="22"/>
                <w:highlight w:val="none"/>
              </w:rPr>
              <w:t xml:space="preserve">испытания повышенным </w:t>
            </w:r>
            <w:r>
              <w:rPr>
                <w:sz w:val="22"/>
                <w:szCs w:val="22"/>
                <w:highlight w:val="none"/>
              </w:rPr>
              <w:t xml:space="preserve">напряжением  </w:t>
            </w:r>
            <w:r>
              <w:rPr>
                <w:sz w:val="22"/>
                <w:szCs w:val="22"/>
                <w:highlight w:val="none"/>
              </w:rPr>
              <w:t xml:space="preserve">выполняются совместно </w:t>
            </w:r>
            <w:r>
              <w:rPr>
                <w:sz w:val="22"/>
                <w:szCs w:val="22"/>
                <w:highlight w:val="none"/>
              </w:rPr>
              <w:t xml:space="preserve">с «Заказчиком» </w:t>
            </w:r>
            <w:r>
              <w:rPr>
                <w:sz w:val="22"/>
                <w:szCs w:val="22"/>
                <w:highlight w:val="none"/>
              </w:rPr>
              <w:t xml:space="preserve">ВВ установка </w:t>
            </w:r>
            <w:r>
              <w:rPr>
                <w:sz w:val="22"/>
                <w:szCs w:val="22"/>
                <w:highlight w:val="none"/>
              </w:rPr>
              <w:t xml:space="preserve">при необходимости </w:t>
            </w:r>
            <w:r>
              <w:rPr>
                <w:sz w:val="22"/>
                <w:szCs w:val="22"/>
                <w:highlight w:val="none"/>
              </w:rPr>
              <w:t xml:space="preserve">может быть предоставлена Заказчиком.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before="0" w:beforeAutospacing="0"/>
              <w:rPr>
                <w:b/>
                <w:sz w:val="22"/>
                <w:szCs w:val="22"/>
                <w:highlight w:val="white"/>
              </w:rPr>
              <w:outlineLvl w:val="1"/>
            </w:pPr>
            <w:r>
              <w:rPr>
                <w:b/>
                <w:sz w:val="22"/>
                <w:szCs w:val="22"/>
                <w:highlight w:val="white"/>
              </w:rPr>
              <w:t xml:space="preserve">2. 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а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н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с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ф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о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м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а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о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ТС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Н-2 типа 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ТРДНС-32000/15-73У1</w:t>
            </w:r>
            <w:r>
              <w:rPr>
                <w:b/>
                <w:sz w:val="22"/>
                <w:szCs w:val="22"/>
                <w:highlight w:val="white"/>
              </w:rPr>
              <w:t xml:space="preserve">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Сбор и</w:t>
            </w:r>
            <w:r>
              <w:rPr>
                <w:sz w:val="22"/>
                <w:szCs w:val="22"/>
                <w:highlight w:val="white"/>
              </w:rPr>
              <w:t xml:space="preserve"> а</w:t>
            </w:r>
            <w:r>
              <w:rPr>
                <w:sz w:val="22"/>
                <w:szCs w:val="22"/>
              </w:rPr>
              <w:t xml:space="preserve">нализ эксплуатационной </w:t>
            </w:r>
            <w:r>
              <w:rPr>
                <w:sz w:val="22"/>
                <w:szCs w:val="22"/>
              </w:rPr>
              <w:t xml:space="preserve">информации (режимов</w:t>
            </w:r>
            <w:r>
              <w:rPr>
                <w:sz w:val="22"/>
                <w:szCs w:val="22"/>
              </w:rPr>
              <w:t xml:space="preserve"> работы трансформатора</w:t>
            </w:r>
            <w:r>
              <w:rPr>
                <w:sz w:val="22"/>
                <w:szCs w:val="22"/>
              </w:rPr>
              <w:t xml:space="preserve">, реактора</w:t>
            </w:r>
            <w:r>
              <w:rPr>
                <w:sz w:val="22"/>
                <w:szCs w:val="22"/>
              </w:rPr>
              <w:t xml:space="preserve">, уровней токов </w:t>
            </w:r>
            <w:r>
              <w:rPr>
                <w:sz w:val="22"/>
                <w:szCs w:val="22"/>
              </w:rPr>
              <w:t xml:space="preserve">КЗ</w:t>
            </w:r>
            <w:r>
              <w:rPr>
                <w:sz w:val="22"/>
                <w:szCs w:val="22"/>
              </w:rPr>
              <w:t xml:space="preserve">, результатов измерений электрических параметров трансформатора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85"/>
              <w:ind w:left="0"/>
              <w:jc w:val="both"/>
              <w:spacing w:before="0" w:beforeAutospacing="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- Хроматографический анализ газов, растворённых в масле бака трансформатора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pacing w:val="-2"/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pacing w:val="-2"/>
                <w:sz w:val="22"/>
                <w:szCs w:val="22"/>
              </w:rPr>
              <w:t xml:space="preserve">Хроматографический анализ газов, растворённых в масле бака устройства РПН </w:t>
            </w:r>
            <w:r>
              <w:rPr>
                <w:spacing w:val="-2"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pacing w:val="-2"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pacing w:val="-2"/>
                <w:sz w:val="22"/>
                <w:szCs w:val="22"/>
              </w:rPr>
            </w:r>
            <w:r>
              <w:rPr>
                <w:spacing w:val="-2"/>
                <w:sz w:val="22"/>
                <w:szCs w:val="22"/>
              </w:rPr>
              <w:t xml:space="preserve">Физико-химический анализ масла из бака трансформатора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pacing w:val="-2"/>
                <w:sz w:val="22"/>
                <w:szCs w:val="22"/>
              </w:rPr>
              <w:t xml:space="preserve">Физико-химический анализ масла из бака устройства РПН</w:t>
            </w:r>
            <w:r>
              <w:rPr>
                <w:spacing w:val="-2"/>
                <w:sz w:val="22"/>
                <w:szCs w:val="22"/>
              </w:rPr>
              <w:t xml:space="preserve">;</w:t>
            </w: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pacing w:val="-2"/>
                <w:sz w:val="22"/>
                <w:szCs w:val="22"/>
              </w:rPr>
              <w:t xml:space="preserve">Хроматографический анализ фурановых соединений в масле бака трансформатора</w:t>
            </w:r>
            <w:r>
              <w:rPr>
                <w:spacing w:val="-2"/>
                <w:sz w:val="22"/>
                <w:szCs w:val="22"/>
              </w:rPr>
              <w:t xml:space="preserve">;</w:t>
            </w: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pacing w:val="-2"/>
                <w:sz w:val="22"/>
                <w:szCs w:val="22"/>
              </w:rPr>
              <w:t xml:space="preserve">Оценка влажности твёрдой изоляции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(при наличии возможности отбора образцов твёрдой изоляции трансформаторов)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;</w:t>
            </w: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85"/>
              <w:ind w:left="0"/>
              <w:jc w:val="both"/>
              <w:spacing w:before="0" w:before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степени полимеризации бумажной изоляции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(при наличии возможности отбора образцов твёрдой изоляции трансформаторов)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i/>
                <w:iCs/>
                <w:spacing w:val="-2"/>
                <w:sz w:val="22"/>
                <w:szCs w:val="22"/>
                <w:highlight w:val="none"/>
              </w:rPr>
            </w:r>
            <w:r>
              <w:rPr>
                <w:spacing w:val="-2"/>
                <w:sz w:val="22"/>
                <w:szCs w:val="22"/>
              </w:rPr>
              <w:t xml:space="preserve">Измерение сопротивления изоляции обмоток</w:t>
            </w:r>
            <w:r>
              <w:rPr>
                <w:spacing w:val="-2"/>
                <w:sz w:val="22"/>
                <w:szCs w:val="22"/>
              </w:rPr>
              <w:t xml:space="preserve">;</w:t>
            </w:r>
            <w:r>
              <w:rPr>
                <w:i/>
                <w:iCs/>
                <w:spacing w:val="-2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pacing w:val="-2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Измерение тангенса угла диэлектрических потерь (</w:t>
            </w:r>
            <w:r>
              <w:rPr>
                <w:sz w:val="22"/>
                <w:szCs w:val="22"/>
              </w:rPr>
              <w:t xml:space="preserve">tgφ) изоляции обмоток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bCs/>
                <w:i/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Измерение сопротивления обмоток постоянному току </w:t>
            </w:r>
            <w:r>
              <w:rPr>
                <w:i/>
                <w:iCs/>
                <w:sz w:val="22"/>
                <w:szCs w:val="22"/>
              </w:rPr>
              <w:t xml:space="preserve">(на всех ответвлениях);</w:t>
            </w:r>
            <w:r>
              <w:rPr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Проверка коэффициента трансформации;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Измерение потерь холостого хода трансформатора;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Измерение сопротивления короткого замыкания трансформатора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Оценка переключающих устройств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Снятие круговой диаграммы РПН и осциллографирование контактов РПН;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Проверка устройств охлаждения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Тепловизионный контроль состояния трансформаторов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Измерение характеристик частичных разрядов акустическим и электрическим методами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Оценка механической целостности сердечника, обмоток и зажимных устройств методом частотного анализа (FRA)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Вибрационное обследование бака трансформатора;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Вибрационное обследование электродвигателей, маслонасосов и вентиляторов системы охлаждения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Внешний осмотр (бак, система защиты и очистки масла, вводы, контрольно-измерительная аппаратура, расширитель)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Обработка  полученных данных, анализ  результатов испытаний и измерений.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numPr>
                <w:ilvl w:val="0"/>
                <w:numId w:val="37"/>
              </w:numPr>
              <w:contextualSpacing w:val="0"/>
              <w:ind w:left="0" w:firstLine="0"/>
              <w:jc w:val="both"/>
              <w:spacing w:before="0" w:beforeAutospacing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rFonts w:eastAsia="Helvetica"/>
                <w:b w:val="0"/>
                <w:color w:val="000000"/>
                <w:sz w:val="22"/>
                <w:szCs w:val="22"/>
              </w:rPr>
            </w:r>
            <w:r>
              <w:rPr>
                <w:rFonts w:eastAsia="Helvetica"/>
                <w:b w:val="0"/>
                <w:color w:val="000000"/>
                <w:sz w:val="22"/>
                <w:szCs w:val="22"/>
              </w:rPr>
              <w:t xml:space="preserve">П</w:t>
            </w:r>
            <w:r>
              <w:rPr>
                <w:rFonts w:eastAsia="Helvetica"/>
                <w:b w:val="0"/>
                <w:color w:val="000000"/>
                <w:sz w:val="22"/>
                <w:szCs w:val="22"/>
              </w:rPr>
              <w:t xml:space="preserve">роведение в лаборатории физико-химического анализа показателей качества масла, а также хроматографических анализов растворенных газов, фурановых соединений в масле из бака трансформатора, устройства РПН.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267" w:type="dxa"/>
            <w:textDirection w:val="lrTb"/>
            <w:noWrap w:val="false"/>
          </w:tcPr>
          <w:p>
            <w:pPr>
              <w:pStyle w:val="1045"/>
              <w:jc w:val="left"/>
              <w:keepNext w:val="0"/>
              <w:spacing w:before="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268" w:type="dxa"/>
            <w:textDirection w:val="lrTb"/>
            <w:noWrap w:val="false"/>
          </w:tcPr>
          <w:p>
            <w:pPr>
              <w:pStyle w:val="1045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blPrEx/>
        <w:trPr>
          <w:trHeight w:val="6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организации услуг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298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2"/>
                <w:numId w:val="11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606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Требования к организации процесса выполнения 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у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с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л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у</w:t>
            </w:r>
            <w:r>
              <w:rPr>
                <w:i w:val="0"/>
                <w:iCs w:val="0"/>
                <w:sz w:val="22"/>
                <w:szCs w:val="22"/>
                <w:highlight w:val="white"/>
              </w:rPr>
              <w:t xml:space="preserve">г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4678" w:type="dxa"/>
            <w:textDirection w:val="lrTb"/>
            <w:noWrap w:val="false"/>
          </w:tcPr>
          <w:p>
            <w:pPr>
              <w:ind w:left="34" w:firstLine="283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commentRangeStart w:id="0"/>
            <w:commentRangeStart w:id="1"/>
            <w:r>
              <w:rPr>
                <w:bCs/>
                <w:sz w:val="22"/>
                <w:szCs w:val="22"/>
                <w:highlight w:val="white"/>
              </w:rPr>
              <w:t xml:space="preserve">До начала оказания услуг Исполнитель предоста</w:t>
            </w:r>
            <w:r>
              <w:rPr>
                <w:bCs/>
                <w:sz w:val="22"/>
                <w:szCs w:val="22"/>
                <w:highlight w:val="white"/>
              </w:rPr>
              <w:t xml:space="preserve">вляет Заказчику «Перечень лиц, имеющих право быть руководителями, производителями и членами бригады», а также «Перечень лиц, имеющих право подписывать акт допуск и выдавать наряды на производство работ повышенной опасности». Указанный персонал должен быть </w:t>
            </w:r>
            <w:r>
              <w:rPr>
                <w:bCs/>
                <w:sz w:val="22"/>
                <w:szCs w:val="22"/>
                <w:highlight w:val="white"/>
              </w:rPr>
              <w:t xml:space="preserve">аттестован по охране труда в установленном порядке и иметь при себе удостоверения установленного образца. Выполнение на объекте необходимых противопожарных мероприятий, мероприятий по технике безопасности и охране окружающей среды во время оказания услуг, </w:t>
            </w:r>
            <w:r>
              <w:rPr>
                <w:sz w:val="22"/>
                <w:szCs w:val="22"/>
                <w:highlight w:val="white"/>
              </w:rPr>
              <w:t xml:space="preserve">соблюдать требования правил внутреннего распорядка, пропускного и </w:t>
            </w:r>
            <w:r>
              <w:rPr>
                <w:sz w:val="22"/>
                <w:szCs w:val="22"/>
                <w:highlight w:val="white"/>
              </w:rPr>
              <w:t xml:space="preserve">внутри объектного режима.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left="34" w:firstLine="283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Пе</w:t>
            </w:r>
            <w:r>
              <w:rPr>
                <w:sz w:val="22"/>
                <w:szCs w:val="22"/>
                <w:highlight w:val="white"/>
              </w:rPr>
              <w:t xml:space="preserve">ред началом оказания услуг:        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left="34" w:firstLine="283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предоставляет  в адрес станции список работников, которые имеют право выдачи нарядов, быть руководителем  и  производителем работ группы  по ЭБ, с указанием фамилии и инициалов, должности, удостоверений   по  специализации работ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left="34" w:firstLine="283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  <w:commentRangeStart w:id="2"/>
            <w:r>
              <w:rPr>
                <w:iCs/>
                <w:sz w:val="22"/>
                <w:szCs w:val="22"/>
                <w:highlight w:val="white"/>
              </w:rPr>
              <w:t xml:space="preserve">- контакты и должность представителей Исполнителя, уполномоченных на оперативное рассмотрение и решение технических и организационных вопросов, связанных с выполнением </w:t>
            </w:r>
            <w:r>
              <w:rPr>
                <w:iCs/>
                <w:sz w:val="22"/>
                <w:szCs w:val="22"/>
                <w:highlight w:val="white"/>
              </w:rPr>
              <w:t xml:space="preserve">Услуг</w:t>
            </w:r>
            <w:r>
              <w:rPr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63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- контакты и должность представителя</w:t>
            </w:r>
            <w:commentRangeEnd w:id="2"/>
            <w:r>
              <w:commentReference w:id="2"/>
            </w:r>
            <w:r>
              <w:rPr>
                <w:sz w:val="22"/>
                <w:szCs w:val="22"/>
                <w:highlight w:val="white"/>
              </w:rPr>
              <w:t xml:space="preserve"> Исполнителя, ответственного за соблюдение </w:t>
            </w:r>
            <w:r>
              <w:rPr>
                <w:sz w:val="22"/>
                <w:szCs w:val="22"/>
              </w:rPr>
              <w:t xml:space="preserve">норм и правил в области охраны труда, электробезопасности, пожарной и промышленной безопасности.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63"/>
              <w:jc w:val="both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Строго соблюдать сроки и объемы оказания услуг.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63"/>
              <w:jc w:val="both"/>
              <w:spacing w:line="276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Услуги </w:t>
            </w:r>
            <w:r>
              <w:rPr>
                <w:sz w:val="22"/>
                <w:szCs w:val="22"/>
                <w:highlight w:val="white"/>
              </w:rPr>
              <w:t xml:space="preserve">производить только по согласованию цеха эксплуатирующего   данное оборудование.</w:t>
            </w:r>
            <w:r>
              <w:rPr>
                <w:sz w:val="22"/>
                <w:szCs w:val="22"/>
                <w:highlight w:val="white"/>
              </w:rPr>
            </w:r>
            <w:commentRangeEnd w:id="0"/>
            <w:commentRangeEnd w:id="1"/>
            <w:r>
              <w:commentReference w:id="0"/>
              <w:commentReference w:id="1"/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1045"/>
              <w:jc w:val="left"/>
              <w:keepNext w:val="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5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методам</w:t>
            </w:r>
            <w:r>
              <w:rPr>
                <w:b/>
                <w:sz w:val="22"/>
                <w:szCs w:val="22"/>
              </w:rPr>
              <w:t xml:space="preserve"> оказания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2"/>
                <w:numId w:val="11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textDirection w:val="lrTb"/>
            <w:noWrap w:val="false"/>
          </w:tcPr>
          <w:p>
            <w:pPr>
              <w:ind w:left="35" w:right="72" w:firstLine="0"/>
              <w:jc w:val="both"/>
              <w:widowControl w:val="off"/>
              <w:tabs>
                <w:tab w:val="left" w:pos="459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1.</w:t>
            </w:r>
            <w:r>
              <w:rPr>
                <w:b/>
                <w:sz w:val="22"/>
                <w:szCs w:val="22"/>
              </w:rPr>
              <w:t xml:space="preserve">Оценка технического состояния узлов генератора выполняется с применением следующих методов контроля: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Электромаг</w:t>
            </w:r>
            <w:r>
              <w:rPr>
                <w:sz w:val="22"/>
                <w:szCs w:val="22"/>
              </w:rPr>
              <w:t xml:space="preserve">нитный метод выявления местных замыканий и участков активной стали статора с повышенными потерями. Метод основан на локации магнитного потока разработанным в ВНИИЭ  детектором замыкания листов, при кольцевом намагничивании сердечника индукцией 0,02-0,05Тл.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Ультразвуковым методом контроля плотности прессовки и  выявление   ослабленных зубцов  активной стали статора. Метод основан  на измерении времени распространения ультразвуковых колебаний поперек листов в пакета</w:t>
            </w:r>
            <w:r>
              <w:rPr>
                <w:sz w:val="22"/>
                <w:szCs w:val="22"/>
              </w:rPr>
              <w:t xml:space="preserve">х активной стали. На основании комплекса измерений оценивается общее состояние плотности прессовки, выявляются ослабленные участки активной стали. Метод позволяет контролировать полноту и качество устранения выявленных дефектов в процессе выполнения работ.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-  </w:t>
            </w:r>
            <w:r>
              <w:rPr>
                <w:sz w:val="22"/>
                <w:szCs w:val="22"/>
              </w:rPr>
              <w:t xml:space="preserve">Виброакустический</w:t>
            </w:r>
            <w:r>
              <w:rPr>
                <w:sz w:val="22"/>
                <w:szCs w:val="22"/>
              </w:rPr>
              <w:t xml:space="preserve"> метод </w:t>
            </w:r>
            <w:r>
              <w:rPr>
                <w:sz w:val="22"/>
                <w:szCs w:val="22"/>
              </w:rPr>
              <w:t xml:space="preserve">выявления дефектов системы крепления сердечника</w:t>
            </w:r>
            <w:r>
              <w:rPr>
                <w:sz w:val="22"/>
                <w:szCs w:val="22"/>
              </w:rPr>
              <w:t xml:space="preserve">. Метод основан на определении параметров </w:t>
            </w:r>
            <w:r>
              <w:rPr>
                <w:sz w:val="22"/>
                <w:szCs w:val="22"/>
              </w:rPr>
              <w:t xml:space="preserve">виброакустических</w:t>
            </w:r>
            <w:r>
              <w:rPr>
                <w:sz w:val="22"/>
                <w:szCs w:val="22"/>
              </w:rPr>
              <w:t xml:space="preserve"> сигналов, возникающих в системе подвески сердечника при ударном возбуждении ее отдельных элементов. На основании анализа параметров полученных данных оценивается техническое состояние системы подвески сердечника.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Технический осмотр статора  по специальной программе с использованием эндоскопов. Технический осмотр проводится  с учетом результатов измерений и включает выявление признаков неудовлетворительного вибр</w:t>
            </w:r>
            <w:r>
              <w:rPr>
                <w:sz w:val="22"/>
                <w:szCs w:val="22"/>
              </w:rPr>
              <w:t xml:space="preserve">ационного состояния  сердечника и обмотки статора, разрушенных зубцов и застрявших в сердечнике  обломков активной стали, дефектов крепления активной стали на спинке и в торцевых зонах статора, дефектов крепления обмотки статора в пазовых и лобовых частях.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Оценка эксплуатационного состояния обмотки статора и элементов ее кре</w:t>
            </w:r>
            <w:r>
              <w:rPr>
                <w:sz w:val="22"/>
                <w:szCs w:val="22"/>
              </w:rPr>
              <w:t xml:space="preserve">пления производится на основе технического осмотра изоляции и элементов крепления пазовой и лобовой частей обмотки статора с применением жесткого и гибкого эндоскопов, а также состояния изоляции обмотки статора по уровню и интенсивности частичных разрядов.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Контроль технического состояния металла ротора проводится на основ</w:t>
            </w:r>
            <w:r>
              <w:rPr>
                <w:sz w:val="22"/>
                <w:szCs w:val="22"/>
              </w:rPr>
              <w:t xml:space="preserve">е анализа параметров характеризующих вибрационное состояние, технического осмотра с использованием эндоскопов и лупы кратностью 4-10, а также результатов проведения других методов неразрушающего контроля (цветная дефектоскопия, контроль твердости  металла)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На основании обследования с учетом фактического технического состояния, особенностей конструкций и условий эксплуатации генератора даются рекомендации по продлению срока службы, модернизации, устранению выявленных дефектов.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- В случае выполнения ремонта по устранению дефектов зубцов статора проводится контроль качества и полноты выполненного ремонта.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283"/>
              <w:jc w:val="left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Обработка  полученных данных, анализ  результатов испытаний и измерений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firstLine="263"/>
              <w:jc w:val="both"/>
              <w:spacing w:after="60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2. </w:t>
            </w:r>
            <w:r>
              <w:rPr>
                <w:b/>
                <w:sz w:val="22"/>
                <w:szCs w:val="22"/>
                <w:highlight w:val="white"/>
              </w:rPr>
              <w:t xml:space="preserve">Оц</w:t>
            </w:r>
            <w:r>
              <w:rPr>
                <w:b/>
                <w:sz w:val="22"/>
                <w:szCs w:val="22"/>
              </w:rPr>
              <w:t xml:space="preserve">енка технического состояния </w:t>
            </w:r>
            <w:r>
              <w:rPr>
                <w:b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а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н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с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ф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о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м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а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о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ра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</w:rPr>
              <w:t xml:space="preserve"> в</w:t>
            </w:r>
            <w:r>
              <w:rPr>
                <w:b/>
                <w:sz w:val="22"/>
                <w:szCs w:val="22"/>
              </w:rPr>
              <w:t xml:space="preserve">ыполняется с применением следующих методов обследования: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20"/>
              <w:contextualSpacing w:val="0"/>
              <w:ind w:left="0" w:firstLine="0"/>
              <w:jc w:val="both"/>
              <w:spacing w:before="0" w:after="0" w:line="283" w:lineRule="atLeast"/>
              <w:tabs>
                <w:tab w:val="left" w:pos="318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- Обследование трансформатора на наличие электрических разрядов и их акустической локации</w:t>
            </w:r>
            <w:r>
              <w:rPr>
                <w:sz w:val="22"/>
                <w:szCs w:val="22"/>
                <w:highlight w:val="none"/>
              </w:rPr>
              <w:t xml:space="preserve"> проводятся с помощью акустического датчика с частотным диапазоном 30-300 кГц. Поскольку акустические сигналы могут иметь происхождение, не связанное с электрическими разрядами, например, виброудары незакрепленных деталей на трансформаторе, корона в воздух</w:t>
            </w:r>
            <w:r>
              <w:rPr>
                <w:sz w:val="22"/>
                <w:szCs w:val="22"/>
                <w:highlight w:val="none"/>
              </w:rPr>
              <w:t xml:space="preserve">е на вводах, шум вентиляторов, вибрация магнитопровода  и т.п., то важно классифицировать вид (причину происхождения) дефекта. Поэтому проводиться анализ акустических сигналов: по частотному спектру, привязке их к фазе напряжения, амплитуде и стабильности.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20"/>
              <w:contextualSpacing w:val="0"/>
              <w:ind w:left="0" w:firstLine="0"/>
              <w:jc w:val="both"/>
              <w:spacing w:before="0" w:after="0" w:line="283" w:lineRule="atLeast"/>
              <w:tabs>
                <w:tab w:val="left" w:pos="318" w:leader="none"/>
              </w:tabs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- </w:t>
            </w:r>
            <w:r>
              <w:rPr>
                <w:sz w:val="22"/>
                <w:szCs w:val="22"/>
                <w:highlight w:val="none"/>
              </w:rPr>
              <w:t xml:space="preserve">Обследование трансформатора на наличие электрических разрядов элек</w:t>
            </w:r>
            <w:r>
              <w:rPr>
                <w:sz w:val="22"/>
                <w:szCs w:val="22"/>
                <w:highlight w:val="none"/>
              </w:rPr>
              <w:t xml:space="preserve">трическим методом проводятся с помощью электрического датчика и высокочастотного трансформатора тока (электрический датчик устанавливается на бак трансформатора и фиксирует уровень сигнала, трансформатор тока устанавливается на заземлитель трансформатора).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20"/>
              <w:contextualSpacing w:val="0"/>
              <w:ind w:left="0" w:firstLine="0"/>
              <w:jc w:val="both"/>
              <w:spacing w:before="0" w:after="0" w:line="283" w:lineRule="atLeast"/>
              <w:tabs>
                <w:tab w:val="left" w:pos="318" w:leader="none"/>
              </w:tabs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- Измерение вибрационных характеристик </w:t>
            </w:r>
            <w:r>
              <w:rPr>
                <w:sz w:val="22"/>
                <w:szCs w:val="22"/>
                <w:highlight w:val="none"/>
              </w:rPr>
              <w:t xml:space="preserve">трансформатора производится для оценки механического состояния трансформатора, выявления  таких дефектов как ослабление прессовки обмоток и ослабление стяжки листов магнитопровода, также оценивается механическое состояние системы охлаждения трансформатора.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magenta"/>
              </w:rPr>
            </w:r>
            <w:r>
              <w:rPr>
                <w:sz w:val="22"/>
                <w:szCs w:val="22"/>
                <w:highlight w:val="magenta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45"/>
              <w:jc w:val="left"/>
              <w:keepNext w:val="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7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045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textDirection w:val="lrTb"/>
            <w:noWrap w:val="false"/>
          </w:tcPr>
          <w:p>
            <w:pPr>
              <w:ind w:firstLine="1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собственных материально-технических ресурсов: специальное оборудование и инструменты, </w:t>
            </w:r>
            <w:r>
              <w:rPr>
                <w:color w:val="000000" w:themeColor="text1"/>
                <w:sz w:val="22"/>
                <w:szCs w:val="22"/>
              </w:rPr>
              <w:t xml:space="preserve">вычислительной техники и необходимого программного обеспечения.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измерений должны быть поверены, калиброваны или аттестованы.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3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textDirection w:val="lrTb"/>
            <w:noWrap w:val="false"/>
          </w:tcPr>
          <w:p>
            <w:pPr>
              <w:pStyle w:val="99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персоналу исполнителя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996"/>
              <w:jc w:val="both"/>
            </w:pPr>
            <w:r>
              <w:t xml:space="preserve">Требования к персоналу Исполнителя</w:t>
            </w:r>
            <w:r/>
          </w:p>
        </w:tc>
        <w:tc>
          <w:tcPr>
            <w:gridSpan w:val="3"/>
            <w:tcW w:w="4732" w:type="dxa"/>
            <w:textDirection w:val="lrTb"/>
            <w:noWrap w:val="false"/>
          </w:tcPr>
          <w:p>
            <w:pPr>
              <w:pStyle w:val="1084"/>
              <w:ind w:firstLine="175"/>
              <w:spacing w:line="240" w:lineRule="auto"/>
              <w:rPr>
                <w:sz w:val="28"/>
                <w:szCs w:val="28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   </w:t>
            </w:r>
            <w:r>
              <w:rPr>
                <w:sz w:val="22"/>
                <w:szCs w:val="22"/>
                <w:highlight w:val="none"/>
              </w:rPr>
              <w:t xml:space="preserve">При оказании услуг Исполнитель обязан иметь: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1084"/>
              <w:ind w:firstLine="175"/>
              <w:spacing w:line="240" w:lineRule="auto"/>
              <w:rPr>
                <w:sz w:val="28"/>
                <w:szCs w:val="28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commentRangeStart w:id="3"/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аттестованных по электробезопасности  специалистов  в соответствии с правилами по охране труда при эксплуатации электроустановок. Персонал должен иметь группу по ЭБ для работ в электроустановках свыше 1000 В (ответственный руководитель работ не ниже V гр.</w:t>
            </w:r>
            <w:r>
              <w:rPr>
                <w:sz w:val="22"/>
                <w:szCs w:val="22"/>
                <w:highlight w:val="none"/>
              </w:rPr>
              <w:t xml:space="preserve">, производитель работ не ниже IV гр., члены бригады не ниже III гр.), иметь необходимое медицинское освидетельствование, удостоверения согласно требованиям Правил работы, с персоналом в организациях электроэнергетики РФ.</w:t>
            </w:r>
            <w:r>
              <w:rPr>
                <w:sz w:val="24"/>
                <w:szCs w:val="24"/>
                <w:highlight w:val="none"/>
              </w:rPr>
            </w:r>
            <w:commentRangeEnd w:id="3"/>
            <w:r>
              <w:commentReference w:id="3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1084"/>
              <w:ind w:firstLine="175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 Участник должен иметь: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pStyle w:val="1084"/>
              <w:ind w:firstLine="0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действующее свидетельство о регистрации электротехнической лаборатории 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ы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ы</w:t>
            </w:r>
            <w:r>
              <w:rPr>
                <w:sz w:val="22"/>
                <w:szCs w:val="22"/>
                <w:highlight w:val="white"/>
              </w:rPr>
              <w:t xml:space="preserve">т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й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и измерений электрооборудования и электроустановок напряжением до и выше 1000В.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11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результатам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результатам услуг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29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Результат оказания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4732" w:type="dxa"/>
            <w:vAlign w:val="center"/>
            <w:textDirection w:val="lrTb"/>
            <w:noWrap w:val="false"/>
          </w:tcPr>
          <w:p>
            <w:pPr>
              <w:contextualSpacing/>
              <w:ind w:firstLine="317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Исполнитель обязан </w:t>
            </w:r>
            <w:r>
              <w:rPr>
                <w:sz w:val="22"/>
                <w:szCs w:val="22"/>
                <w:highlight w:val="white"/>
              </w:rPr>
              <w:t xml:space="preserve">выполнить 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г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своими или привлеченными силами в объеме и сроки, предусмотренные техническим заданием, сметной документацией и сдать результат </w:t>
            </w:r>
            <w:r>
              <w:rPr>
                <w:sz w:val="22"/>
                <w:szCs w:val="22"/>
                <w:highlight w:val="white"/>
              </w:rPr>
              <w:t xml:space="preserve">услуг</w:t>
            </w:r>
            <w:r>
              <w:rPr>
                <w:sz w:val="22"/>
                <w:szCs w:val="22"/>
                <w:highlight w:val="white"/>
              </w:rPr>
              <w:t xml:space="preserve"> Заказчику.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317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Исполнитель должен подготовить и сдать Заказчику по акту в установленном порядке </w:t>
            </w:r>
            <w:r>
              <w:rPr>
                <w:sz w:val="22"/>
                <w:szCs w:val="22"/>
                <w:highlight w:val="white"/>
              </w:rPr>
              <w:t xml:space="preserve">отчетную документацию</w:t>
            </w:r>
            <w:r>
              <w:rPr>
                <w:sz w:val="22"/>
                <w:szCs w:val="22"/>
                <w:highlight w:val="white"/>
              </w:rPr>
              <w:t xml:space="preserve">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29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spacing w:before="6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Требования к оформлению результата оказания услуг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W w:w="4732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sz w:val="22"/>
                <w:szCs w:val="22"/>
                <w:highlight w:val="white"/>
                <w:u w:val="single"/>
              </w:rPr>
              <w:outlineLvl w:val="1"/>
            </w:pPr>
            <w:r>
              <w:rPr>
                <w:rFonts w:eastAsia="Calibri"/>
                <w:b/>
                <w:sz w:val="22"/>
                <w:szCs w:val="22"/>
                <w:highlight w:val="white"/>
                <w:u w:val="single"/>
              </w:rPr>
              <w:t xml:space="preserve">По турбогенератору 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ТГ 2 ти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па ТГВ - 200-2М-У3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.</w:t>
            </w:r>
            <w:r>
              <w:rPr>
                <w:rFonts w:eastAsia="Calibri"/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rFonts w:eastAsia="Calibri"/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заключение о техническом состоянии генератора ст. №2.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«Технический отчет по результатам комплексного обследования турбогенератора </w:t>
            </w:r>
            <w:r>
              <w:rPr>
                <w:sz w:val="22"/>
                <w:szCs w:val="22"/>
                <w:highlight w:val="white"/>
              </w:rPr>
              <w:t xml:space="preserve">ТГ 2 ти</w:t>
            </w:r>
            <w:r>
              <w:rPr>
                <w:sz w:val="22"/>
                <w:szCs w:val="22"/>
                <w:highlight w:val="white"/>
              </w:rPr>
              <w:t xml:space="preserve">па ТГВ - 200-2М-У3</w:t>
            </w:r>
            <w:r>
              <w:rPr>
                <w:sz w:val="22"/>
                <w:szCs w:val="22"/>
                <w:highlight w:val="white"/>
              </w:rPr>
              <w:t xml:space="preserve">» (в 2-х </w:t>
            </w:r>
            <w:r>
              <w:rPr>
                <w:sz w:val="22"/>
                <w:szCs w:val="22"/>
                <w:highlight w:val="white"/>
              </w:rPr>
              <w:t xml:space="preserve">экземплярах)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 определением необходимости проведения капитального ремонта и рекомендациями по его проведению.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документально подтвержденная возможность дальнейшей эксплуатации, рекомендации по дальнейшей эксплуатации.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документально подтвержденный перечень выявленных дефектов и с рекомендациями и способами их устранения.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По трансформатору 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ТС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Н-2 типа </w:t>
            </w:r>
            <w:r>
              <w:rPr>
                <w:b/>
                <w:bCs/>
                <w:sz w:val="22"/>
                <w:szCs w:val="22"/>
                <w:highlight w:val="white"/>
                <w:u w:val="single"/>
              </w:rPr>
              <w:t xml:space="preserve">ТРДНС-32000/15-73У1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«Технический отчет по результатам комплексного обследования </w:t>
            </w:r>
            <w:r>
              <w:rPr>
                <w:sz w:val="22"/>
                <w:szCs w:val="22"/>
                <w:highlight w:val="white"/>
              </w:rPr>
              <w:t xml:space="preserve">трансформатора </w:t>
            </w:r>
            <w:r>
              <w:rPr>
                <w:sz w:val="22"/>
                <w:szCs w:val="22"/>
                <w:highlight w:val="white"/>
              </w:rPr>
              <w:t xml:space="preserve">ТС</w:t>
            </w:r>
            <w:r>
              <w:rPr>
                <w:sz w:val="22"/>
                <w:szCs w:val="22"/>
                <w:highlight w:val="white"/>
              </w:rPr>
              <w:t xml:space="preserve">Н-2 типа </w:t>
            </w:r>
            <w:r>
              <w:rPr>
                <w:sz w:val="22"/>
                <w:szCs w:val="22"/>
                <w:highlight w:val="white"/>
              </w:rPr>
              <w:t xml:space="preserve">ТРДНС-32000/15-73У1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  <w:t xml:space="preserve">» (в 2-х экземплярах) с определением необхо</w:t>
            </w:r>
            <w:r>
              <w:rPr>
                <w:sz w:val="22"/>
                <w:szCs w:val="22"/>
                <w:highlight w:val="white"/>
              </w:rPr>
              <w:t xml:space="preserve">димости проведения капитального ремонта и рекомендациями по его проведению (согласно требований приложения №2 Распоряжения «РусГидро» от 11.07.2025 №363р..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документально подтвержденная возможность дальнейшей эксплуатации, рекомендации по дальнейшей эксплуатации.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4"/>
              </w:numPr>
              <w:ind w:left="0" w:hanging="176"/>
              <w:jc w:val="both"/>
              <w:tabs>
                <w:tab w:val="num" w:pos="-1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документально подтвержденный перечень выявленных дефектов с рекомендациями и способами их устранения.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Ведомость фактической перегрузочной способности и допустимое время работы трансформатора.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безопасности использования результата оказания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2729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4732" w:type="dxa"/>
            <w:vAlign w:val="center"/>
            <w:textDirection w:val="lrTb"/>
            <w:noWrap w:val="false"/>
          </w:tcPr>
          <w:p>
            <w:pPr>
              <w:ind w:left="34" w:firstLine="283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 начала оказания услуг Исполнит</w:t>
            </w:r>
            <w:r>
              <w:rPr>
                <w:bCs/>
                <w:sz w:val="22"/>
                <w:szCs w:val="22"/>
              </w:rPr>
              <w:t xml:space="preserve">ель предоставляет Заказчику «Перечень лиц, имеющих право быть руководителями, производителями и членами бригады», а также «Перечень лиц, имеющих право подписывать акт допуск и выдавать наряды на производство работ повышенной опасности». Указанный персонал </w:t>
            </w:r>
            <w:r>
              <w:rPr>
                <w:bCs/>
                <w:sz w:val="22"/>
                <w:szCs w:val="22"/>
              </w:rPr>
              <w:t xml:space="preserve">должен быть </w:t>
            </w:r>
            <w:r>
              <w:rPr>
                <w:bCs/>
                <w:sz w:val="22"/>
                <w:szCs w:val="22"/>
              </w:rPr>
              <w:t xml:space="preserve">аттестован по охране труда в установленном порядке и иметь при себе удостоверения установленного образца. Выполнение на объекте необходимых противопожарных мероприятий, мероприятий по технике безопасности и охране окружающей среды во время оказания услуг, </w:t>
            </w:r>
            <w:r>
              <w:rPr>
                <w:sz w:val="22"/>
                <w:szCs w:val="22"/>
              </w:rPr>
              <w:t xml:space="preserve">соблюдать требования правил внутреннего распорядка, пропускного и внутри объектного режима.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 w:firstLine="283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Перед началом оказания </w:t>
            </w:r>
            <w:r>
              <w:rPr>
                <w:sz w:val="22"/>
                <w:szCs w:val="22"/>
              </w:rPr>
              <w:t xml:space="preserve">услуг предоставляет</w:t>
            </w:r>
            <w:r>
              <w:rPr>
                <w:sz w:val="22"/>
                <w:szCs w:val="22"/>
              </w:rPr>
              <w:t xml:space="preserve">  в адрес станции список работников, которые имеют право выдачи нарядов, быть руководителем  и  производителем работ группы  по ЭБ, с указанием фамилии и инициалов, должности, удостоверений   по  специализации работ.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 w:firstLine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</w:t>
            </w:r>
            <w:r>
              <w:rPr>
                <w:sz w:val="22"/>
                <w:szCs w:val="22"/>
              </w:rPr>
              <w:t xml:space="preserve">производятся только по согласованию цеха эксплуатирующего   данное оборудование.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«Исполнитель» обязан ознакомиться с условиями и особенностями энергообъекта СП Не</w:t>
            </w:r>
            <w:r>
              <w:rPr>
                <w:sz w:val="22"/>
                <w:szCs w:val="22"/>
              </w:rPr>
              <w:t xml:space="preserve">рюнгринская ГРЭС АО «ДГК» и правилами нахождения на его территории до подписания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«Исполнитель»  должен хорошо изучить условия, при которых предстоит выполнить весь объем услуг и факторы, которые могут отрицательно повлиять на выполнение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приемке результата оказания у</w:t>
            </w:r>
            <w:r>
              <w:rPr>
                <w:b/>
                <w:sz w:val="22"/>
                <w:szCs w:val="22"/>
              </w:rPr>
              <w:t xml:space="preserve">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1"/>
                <w:numId w:val="11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ind w:firstLine="175"/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Исполнитель передает заказчику акт приемки-сдачи оказанных услуг в двух экземплярах по форме, приложенной в Договоре оказания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08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11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spacing w:before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60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Соблюдение  норм и правил НТД: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678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­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highlight w:val="none"/>
              </w:rPr>
              <w:t xml:space="preserve">Оценка технического состояния </w:t>
            </w:r>
            <w:r>
              <w:rPr>
                <w:sz w:val="22"/>
                <w:szCs w:val="22"/>
                <w:highlight w:val="none"/>
              </w:rPr>
              <w:t xml:space="preserve">турбогенератора и трансформатора </w:t>
            </w:r>
            <w:r>
              <w:rPr>
                <w:sz w:val="22"/>
                <w:szCs w:val="22"/>
                <w:highlight w:val="none"/>
              </w:rPr>
              <w:t xml:space="preserve">СП «Нерюнгринская ГРЭС»</w:t>
            </w:r>
            <w:r>
              <w:rPr>
                <w:sz w:val="22"/>
                <w:szCs w:val="22"/>
                <w:highlight w:val="none"/>
              </w:rPr>
              <w:t xml:space="preserve"> АО «ДГК» проводится в соответствии с  требованиями: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- Методики оценки техни</w:t>
            </w:r>
            <w:r>
              <w:rPr>
                <w:sz w:val="22"/>
                <w:szCs w:val="22"/>
              </w:rPr>
              <w:t xml:space="preserve">ческого состояния основного технологического оборудования и линий электропередачи электрических станций и электрических сетей (с изменениями на 17 марта 2020 года Приказ Министерства энергетики РФ №192);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Руководства  по повышению надежности эксплуатации бандажных узлов роторов турбогенераторов, утвержденных приказом ОАО РАО  «ЕЭС России» от 05.04.2007 №232;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Типовой инструкции «Проведение ремонта и модернизации активной стали с использованием современных методов диагностики и контроля технического      состояния турбогенераторов» АО "ВНИИЭ", АО "ЦКБ Энергоремонт" 1999 г. ("РД 153-34.1-30.608-2000. Методические</w:t>
            </w:r>
            <w:r>
              <w:rPr>
                <w:sz w:val="22"/>
                <w:szCs w:val="22"/>
              </w:rPr>
              <w:t xml:space="preserve"> указания по использованию экспертной системы оценки эксплуатационно-ремонтного обслуживания турбогенераторов" (утв. РАО "ЕЭС России" 29.12.2000)).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- Р</w:t>
            </w:r>
            <w:r>
              <w:rPr>
                <w:sz w:val="22"/>
                <w:szCs w:val="22"/>
                <w:highlight w:val="none"/>
              </w:rPr>
              <w:t xml:space="preserve">аспоряжения ПАО «РусГидро» от 11.07.2025 No363р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88"/>
              <w:numPr>
                <w:ilvl w:val="0"/>
                <w:numId w:val="40"/>
              </w:numPr>
              <w:contextualSpacing/>
              <w:ind w:left="0" w:firstLine="0"/>
              <w:jc w:val="both"/>
              <w:tabs>
                <w:tab w:val="left" w:pos="420" w:leader="none"/>
                <w:tab w:val="left" w:pos="851" w:leader="none"/>
                <w:tab w:val="left" w:pos="993" w:leader="none"/>
              </w:tabs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eastAsia="ja-JP"/>
              </w:rPr>
              <w:t xml:space="preserve">Федеральный закон от 26.06.2008 № 102-ФЗ «Об обеспечении единства измерений»;</w:t>
            </w:r>
            <w:r>
              <w:rPr>
                <w:b w:val="0"/>
                <w:bCs w:val="0"/>
                <w:sz w:val="24"/>
                <w:szCs w:val="24"/>
                <w:lang w:eastAsia="ja-JP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088"/>
              <w:numPr>
                <w:ilvl w:val="0"/>
                <w:numId w:val="40"/>
              </w:numPr>
              <w:contextualSpacing/>
              <w:ind w:left="0" w:firstLine="0"/>
              <w:jc w:val="both"/>
              <w:tabs>
                <w:tab w:val="left" w:pos="420" w:leader="none"/>
                <w:tab w:val="left" w:pos="851" w:leader="none"/>
                <w:tab w:val="left" w:pos="993" w:leader="none"/>
              </w:tabs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eastAsia="ja-JP"/>
              </w:rPr>
              <w:t xml:space="preserve">Федеральный закон от 27.12.2002 № 184-ФЗ «О техническом регулировании»;</w:t>
            </w:r>
            <w:r>
              <w:rPr>
                <w:b w:val="0"/>
                <w:bCs w:val="0"/>
                <w:sz w:val="24"/>
                <w:szCs w:val="24"/>
                <w:lang w:eastAsia="ja-JP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3240" w:leader="none"/>
                <w:tab w:val="left" w:pos="42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sz w:val="24"/>
                <w:szCs w:val="24"/>
                <w:lang w:eastAsia="ja-JP"/>
              </w:rPr>
              <w:t xml:space="preserve">ПУЭ (действующее издание);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  <w:tab w:val="left" w:pos="42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ПТЭ (действующее издание);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  <w:tab w:val="left" w:pos="42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РД 34.46.501 «Инструкция по эксплуатации трансформаторов»;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  <w:tab w:val="left" w:pos="42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РД 153-34.0-20.364-99 «Основные положения методики инфракрасной диагностики электрооборудования и ВЛ»;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РД 153-34.0-46.302-00 «Методические указания по диагностике развивающихся дефектов трансформаторного оборудования по результатам хроматографического анализа газов, растворенных в масле»;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</w:tabs>
              <w:rPr>
                <w:b w:val="0"/>
                <w:iCs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Методические указания по наладке устройств переключения ответвлений обмоток под нагрузкой трансформаторов РПН (утв. Минэнерго СССР 30.03.1981);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</w:p>
          <w:p>
            <w:pPr>
              <w:pStyle w:val="769"/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</w:tabs>
              <w:rPr>
                <w:b w:val="0"/>
                <w:bCs w:val="0"/>
                <w:iCs/>
                <w:sz w:val="24"/>
                <w:szCs w:val="24"/>
                <w:lang w:val="en-US" w:eastAsia="ja-JP"/>
              </w:rPr>
            </w:pP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СТО РусГидро 02.01.124-2020 Силовые трансформаторы. Организация технической эксплуатации. </w:t>
            </w:r>
            <w:r>
              <w:rPr>
                <w:b w:val="0"/>
                <w:iCs/>
                <w:sz w:val="24"/>
                <w:szCs w:val="24"/>
                <w:lang w:val="en-US" w:eastAsia="ja-JP"/>
              </w:rPr>
              <w:t xml:space="preserve">Нормы и требования;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bCs w:val="0"/>
                <w:iCs/>
                <w:sz w:val="24"/>
                <w:szCs w:val="24"/>
                <w:lang w:val="en-US" w:eastAsia="ja-JP"/>
              </w:rPr>
            </w:r>
          </w:p>
          <w:p>
            <w:pPr>
              <w:numPr>
                <w:ilvl w:val="0"/>
                <w:numId w:val="40"/>
              </w:numPr>
              <w:ind w:left="0" w:firstLine="0"/>
              <w:jc w:val="both"/>
              <w:tabs>
                <w:tab w:val="left" w:pos="-4860" w:leader="none"/>
                <w:tab w:val="left" w:pos="-3240" w:leader="none"/>
              </w:tabs>
              <w:rPr>
                <w:b w:val="0"/>
                <w:bCs w:val="0"/>
                <w:sz w:val="24"/>
                <w:szCs w:val="24"/>
                <w:lang w:eastAsia="ja-JP"/>
              </w:rPr>
            </w:pPr>
            <w:r>
              <w:rPr>
                <w:b w:val="0"/>
                <w:iCs/>
                <w:sz w:val="24"/>
                <w:szCs w:val="24"/>
                <w:lang w:val="en-US" w:eastAsia="ja-JP"/>
              </w:rPr>
            </w:r>
            <w:r>
              <w:rPr>
                <w:b w:val="0"/>
                <w:iCs/>
                <w:sz w:val="24"/>
                <w:szCs w:val="24"/>
                <w:lang w:eastAsia="ja-JP"/>
              </w:rPr>
              <w:t xml:space="preserve">РД 34.46.303-89 «Методические указания по подготовке и проведению хроматографического анализа газов, растворенных в масле силовых трансформаторов».</w:t>
            </w:r>
            <w:r>
              <w:rPr>
                <w:b w:val="0"/>
                <w:iCs/>
                <w:sz w:val="24"/>
                <w:szCs w:val="24"/>
                <w:lang w:eastAsia="ja-JP"/>
              </w:rPr>
            </w:r>
            <w:r>
              <w:rPr>
                <w:b w:val="0"/>
                <w:bCs w:val="0"/>
                <w:sz w:val="24"/>
                <w:szCs w:val="24"/>
                <w:lang w:eastAsia="ja-JP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11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Исполнителя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685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  <w:highlight w:val="magenta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Исполнитель обязан</w:t>
            </w:r>
            <w:r>
              <w:rPr>
                <w:b/>
                <w:sz w:val="22"/>
                <w:szCs w:val="22"/>
                <w:highlight w:val="magenta"/>
              </w:rPr>
            </w:r>
            <w:r>
              <w:rPr>
                <w:b/>
                <w:sz w:val="22"/>
                <w:szCs w:val="22"/>
                <w:highlight w:val="magenta"/>
              </w:rPr>
            </w:r>
          </w:p>
        </w:tc>
        <w:tc>
          <w:tcPr>
            <w:tcW w:w="359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contextualSpacing/>
              <w:ind w:left="34" w:firstLine="45"/>
              <w:tabs>
                <w:tab w:val="left" w:pos="329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</w:rPr>
              <w:t xml:space="preserve">Разработать программу</w:t>
            </w:r>
            <w:r>
              <w:rPr>
                <w:sz w:val="22"/>
                <w:szCs w:val="22"/>
              </w:rPr>
              <w:t xml:space="preserve">, согласо</w:t>
            </w:r>
            <w:r>
              <w:rPr>
                <w:sz w:val="22"/>
                <w:szCs w:val="22"/>
                <w:highlight w:val="white"/>
              </w:rPr>
              <w:t xml:space="preserve">вать с «Заказчиком»  за 15 дней до </w:t>
            </w:r>
            <w:r>
              <w:rPr>
                <w:sz w:val="22"/>
                <w:szCs w:val="22"/>
                <w:highlight w:val="white"/>
              </w:rPr>
              <w:t xml:space="preserve">начала 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г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5"/>
              </w:numPr>
              <w:contextualSpacing/>
              <w:ind w:left="34" w:firstLine="45"/>
              <w:tabs>
                <w:tab w:val="left" w:pos="329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Провести полное  комплексное диагностическое обследование  турбогенераторов, трансформаторов</w:t>
            </w:r>
            <w:r>
              <w:rPr>
                <w:bCs/>
                <w:sz w:val="22"/>
                <w:szCs w:val="22"/>
                <w:highlight w:val="white"/>
              </w:rPr>
            </w:r>
            <w:commentRangeStart w:id="4"/>
            <w:r>
              <w:rPr>
                <w:highlight w:val="white"/>
              </w:rPr>
            </w:r>
            <w:commentRangeEnd w:id="4"/>
            <w:r>
              <w:commentReference w:id="4"/>
            </w:r>
            <w:r>
              <w:rPr>
                <w:bCs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35"/>
              </w:numPr>
              <w:contextualSpacing/>
              <w:ind w:left="34" w:firstLine="45"/>
              <w:tabs>
                <w:tab w:val="left" w:pos="329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  <w:t xml:space="preserve">   </w:t>
            </w:r>
            <w:r>
              <w:rPr>
                <w:sz w:val="22"/>
                <w:szCs w:val="22"/>
                <w:highlight w:val="none"/>
              </w:rPr>
              <w:t xml:space="preserve">Надлежащее качество оказания услуг в полном объеме в соответствии с Техническим заданием и действующим  законодательством;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numPr>
                <w:ilvl w:val="0"/>
                <w:numId w:val="35"/>
              </w:numPr>
              <w:contextualSpacing/>
              <w:ind w:left="34" w:firstLine="45"/>
              <w:tabs>
                <w:tab w:val="left" w:pos="32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2"/>
                <w:szCs w:val="22"/>
              </w:rPr>
              <w:t xml:space="preserve">По результатам оказанных услуг Исп</w:t>
            </w:r>
            <w:r>
              <w:rPr>
                <w:sz w:val="22"/>
                <w:szCs w:val="22"/>
              </w:rPr>
              <w:t xml:space="preserve">олнитель должен предоставить корректирующие мероприятия по обеспечению безопасной эксплуатации турбогенератора и трансформатора на продлеваемый период.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20"/>
              <w:numPr>
                <w:ilvl w:val="0"/>
                <w:numId w:val="11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685" w:type="dxa"/>
            <w:textDirection w:val="lrTb"/>
            <w:noWrap w:val="false"/>
          </w:tcPr>
          <w:p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Требования к соисполнителям, привлекаемым к оказанию услуг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3599" w:type="dxa"/>
            <w:textDirection w:val="lrTb"/>
            <w:noWrap w:val="false"/>
          </w:tcPr>
          <w:p>
            <w:pPr>
              <w:ind w:firstLine="175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Merge w:val="restart"/>
            <w:textDirection w:val="lrTb"/>
            <w:noWrap w:val="false"/>
          </w:tcPr>
          <w:p>
            <w:pPr>
              <w:ind w:firstLine="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  <w:t xml:space="preserve">Требования к победителю</w:t>
            </w: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7284" w:type="dxa"/>
            <w:vMerge w:val="restart"/>
            <w:textDirection w:val="lrTb"/>
            <w:noWrap w:val="false"/>
          </w:tcPr>
          <w:p>
            <w:pPr>
              <w:pStyle w:val="769"/>
              <w:ind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частник, признанный победителем за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mameychik-aa@dgk.ru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769"/>
              <w:ind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  <w:t xml:space="preserve">Согласие с требованием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685" w:type="dxa"/>
            <w:vMerge w:val="restart"/>
            <w:textDirection w:val="lrTb"/>
            <w:noWrap w:val="false"/>
          </w:tcPr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</w:p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Согласно Приказу Минтруда России от 15.12.2020 N 903н (ред. от 29.04.2025) "Об утверждении Правил по охране труда при эксплуатации электроустановок" (Зарегистрировано в Минюсте России 30.12.2020 N 61957)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1020"/>
              <w:numPr>
                <w:ilvl w:val="0"/>
                <w:numId w:val="39"/>
              </w:num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иметь квалифицированный персонал не менее 3-х человек обладающих требуемым допуском по электробезопасности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2) Согласно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ru-RU"/>
              </w:rPr>
              <w:t xml:space="preserve">Иметь в наличие 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 3 человек (руко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водитель, производитель работ и всех членов бригады)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проверку знаний требований охраны труда и имеющих допуск работы в электроустановках.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W w:w="3599" w:type="dxa"/>
            <w:vMerge w:val="restart"/>
            <w:textDirection w:val="lrTb"/>
            <w:noWrap w:val="false"/>
          </w:tcPr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Копиями квалификационных удостоверений установленного образца с соответствующей группой по электробезопасности: у ответственного руководителя работ - не менее V группы по электробезопасности, у производителя работ - не менее IV группы по электробезопасно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сти, члены бригады не ниже III гр.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ind w:left="0" w:right="0" w:firstLine="72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rPr>
          <w:b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770"/>
        <w:numPr>
          <w:ilvl w:val="0"/>
          <w:numId w:val="0"/>
        </w:numPr>
        <w:ind w:left="357" w:firstLine="0"/>
        <w:jc w:val="center"/>
        <w:keepLines/>
        <w:tabs>
          <w:tab w:val="clear" w:pos="0" w:leader="none"/>
        </w:tabs>
      </w:pPr>
      <w:r>
        <w:t xml:space="preserve">3. </w:t>
      </w:r>
      <w:bookmarkStart w:id="0" w:name="undefined"/>
      <w:r/>
      <w:bookmarkStart w:id="0" w:name="undefined"/>
      <w:r/>
      <w:bookmarkStart w:id="0" w:name="undefined"/>
      <w:r>
        <w:t xml:space="preserve">Требования к документации по ценообразованию на этапе закупки</w:t>
      </w:r>
      <w:bookmarkEnd w:id="0"/>
      <w:r/>
      <w:r/>
    </w:p>
    <w:p>
      <w:pPr>
        <w:pStyle w:val="1086"/>
        <w:ind w:left="-207"/>
        <w:jc w:val="both"/>
        <w:spacing w:after="0" w:line="250" w:lineRule="exact"/>
        <w:shd w:val="clear" w:color="auto" w:fill="auto"/>
        <w:tabs>
          <w:tab w:val="left" w:pos="368" w:leader="none"/>
        </w:tabs>
      </w:pPr>
      <w:r/>
      <w:r/>
    </w:p>
    <w:p>
      <w:pPr>
        <w:pStyle w:val="1084"/>
        <w:numPr>
          <w:ilvl w:val="0"/>
          <w:numId w:val="36"/>
        </w:numPr>
        <w:ind w:right="220" w:firstLine="709"/>
        <w:jc w:val="both"/>
        <w:spacing w:before="0" w:line="250" w:lineRule="exact"/>
        <w:shd w:val="clear" w:color="auto" w:fill="auto"/>
        <w:tabs>
          <w:tab w:val="left" w:pos="452" w:leader="none"/>
        </w:tabs>
      </w:pPr>
      <w:r>
        <w:rPr>
          <w:sz w:val="24"/>
          <w:szCs w:val="24"/>
        </w:rPr>
        <w:t xml:space="preserve">3.1. В обоснование стоимости заявки, Участник должен предоставить «Коммерческое предложение» по форме, приведённой в До</w:t>
      </w:r>
      <w:r>
        <w:rPr>
          <w:color w:val="000000" w:themeColor="text1"/>
          <w:sz w:val="24"/>
          <w:szCs w:val="24"/>
        </w:rPr>
        <w:t xml:space="preserve">кументации о закупке.</w:t>
      </w:r>
      <w:r/>
    </w:p>
    <w:p>
      <w:pPr>
        <w:pStyle w:val="770"/>
        <w:numPr>
          <w:ilvl w:val="0"/>
          <w:numId w:val="0"/>
        </w:numPr>
        <w:ind w:left="357" w:firstLine="0"/>
        <w:jc w:val="center"/>
        <w:keepLines/>
        <w:tabs>
          <w:tab w:val="clear" w:pos="0" w:leader="none"/>
        </w:tabs>
      </w:pPr>
      <w:r>
        <w:t xml:space="preserve">4. </w:t>
      </w:r>
      <w:r>
        <w:t xml:space="preserve">Треб</w:t>
      </w:r>
      <w:r>
        <w:t xml:space="preserve">ования к документации по ценообразованию на этапе заключения (исполнения) договора</w:t>
      </w:r>
      <w:r/>
    </w:p>
    <w:p>
      <w:pPr>
        <w:pStyle w:val="1087"/>
        <w:contextualSpacing w:val="0"/>
        <w:ind w:left="0" w:firstLine="0"/>
        <w:jc w:val="left"/>
        <w:spacing w:before="0" w:after="0" w:line="240" w:lineRule="auto"/>
        <w:tabs>
          <w:tab w:val="clear" w:pos="1440" w:leader="none"/>
        </w:tabs>
        <w:suppressLineNumbers w:val="0"/>
      </w:pPr>
      <w:r>
        <w:rPr>
          <w:i w:val="0"/>
          <w:iCs w:val="0"/>
          <w:color w:val="000000" w:themeColor="text1"/>
          <w:sz w:val="24"/>
          <w:szCs w:val="24"/>
        </w:rPr>
        <w:t xml:space="preserve">          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  <w:tab/>
        <w:tab/>
        <w:tab/>
        <w:t xml:space="preserve">4.1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 Требования к составлению сметной документации (при заключении договора):</w:t>
      </w:r>
      <w:r/>
    </w:p>
    <w:p>
      <w:pPr>
        <w:pStyle w:val="1087"/>
        <w:contextualSpacing w:val="0"/>
        <w:ind w:left="0" w:firstLine="0"/>
        <w:jc w:val="left"/>
        <w:spacing w:before="0" w:after="0" w:line="240" w:lineRule="auto"/>
        <w:tabs>
          <w:tab w:val="clear" w:pos="1440" w:leader="none"/>
        </w:tabs>
        <w:rPr>
          <w:color w:val="000000" w:themeColor="text1"/>
          <w:highlight w:val="yellow"/>
        </w:rPr>
        <w:suppressLineNumbers w:val="0"/>
      </w:pPr>
      <w:r>
        <w:rPr>
          <w:bCs w:val="0"/>
          <w:i w:val="0"/>
          <w:iCs w:val="0"/>
          <w:color w:val="000000" w:themeColor="text1"/>
          <w:sz w:val="24"/>
          <w:szCs w:val="24"/>
        </w:rPr>
        <w:t xml:space="preserve">         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 4.1.1.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ab/>
        <w:t xml:space="preserve">Сметная документация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разрабатывается исполнителем,  с которым принято решение о заключении договора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в соответствии с требованиями, указанными в приложении №1 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к ТТ.</w:t>
      </w:r>
      <w:r>
        <w:rPr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highlight w:val="yellow"/>
        </w:rPr>
      </w:r>
      <w:r>
        <w:rPr>
          <w:color w:val="000000" w:themeColor="text1"/>
          <w:highlight w:val="yellow"/>
        </w:rPr>
      </w:r>
    </w:p>
    <w:p>
      <w:pPr>
        <w:pStyle w:val="770"/>
        <w:numPr>
          <w:ilvl w:val="0"/>
          <w:numId w:val="0"/>
        </w:numPr>
        <w:ind w:left="357" w:firstLine="0"/>
        <w:jc w:val="center"/>
        <w:keepLines/>
      </w:pPr>
      <w:r>
        <w:t xml:space="preserve">5. </w:t>
      </w:r>
      <w:bookmarkStart w:id="0" w:name="undefined"/>
      <w:r>
        <w:rPr>
          <w:iCs/>
        </w:rPr>
        <w:t xml:space="preserve">Приложения</w:t>
      </w:r>
      <w:bookmarkEnd w:id="0"/>
      <w:r/>
      <w:r/>
    </w:p>
    <w:p>
      <w:pPr>
        <w:jc w:val="both"/>
        <w:spacing w:after="120"/>
      </w:pPr>
      <w:r>
        <w:rPr>
          <w:bCs/>
          <w:sz w:val="24"/>
          <w:szCs w:val="24"/>
          <w:highlight w:val="none"/>
        </w:rPr>
      </w:r>
      <w:r/>
    </w:p>
    <w:p>
      <w:pPr>
        <w:jc w:val="both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1: </w:t>
      </w:r>
      <w:r>
        <w:rPr>
          <w:sz w:val="24"/>
          <w:highlight w:val="white"/>
        </w:rPr>
        <w:t xml:space="preserve">Требования к оформлению и составлению </w:t>
      </w:r>
      <w:r>
        <w:rPr>
          <w:sz w:val="24"/>
          <w:highlight w:val="white"/>
          <w:lang w:val="ru-RU"/>
        </w:rPr>
        <w:t xml:space="preserve">калькуляций на производство работ</w:t>
      </w:r>
      <w:r>
        <w:rPr>
          <w:sz w:val="24"/>
          <w:highlight w:val="white"/>
          <w:lang w:val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left"/>
        <w:rPr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Приложение №2: Ведомость объемов работ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трансформатора собственных нужд ТСН-2 </w:t>
      </w:r>
      <w:r>
        <w:rPr>
          <w:sz w:val="24"/>
          <w:highlight w:val="white"/>
        </w:rPr>
        <w:t xml:space="preserve">типа </w:t>
      </w:r>
      <w:r>
        <w:rPr>
          <w:sz w:val="24"/>
          <w:highlight w:val="white"/>
        </w:rPr>
        <w:t xml:space="preserve">ТРДНС-32000/15-73У1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Приложение №3: Ведомость объемов работ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турбогенератора </w:t>
      </w:r>
      <w:r>
        <w:rPr>
          <w:sz w:val="24"/>
          <w:highlight w:val="white"/>
        </w:rPr>
        <w:t xml:space="preserve">ТГ 2 ти</w:t>
      </w:r>
      <w:r>
        <w:rPr>
          <w:sz w:val="24"/>
          <w:highlight w:val="white"/>
        </w:rPr>
        <w:t xml:space="preserve">па ТГВ - 200-2М-У3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jc w:val="lef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after="120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709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korneva_oa" w:date="2026-05-04T15:55:07Z" w:initials="k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откдуда?</w:t>
      </w:r>
    </w:p>
  </w:comment>
  <w:comment w:id="3" w:author="korneva_oa" w:date="2026-05-05T09:01:38Z" w:initials="k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Если у Вас будут спец.требования, то наверное требование не к кадрам, а к персоналу Исполнителя.</w:t>
      </w:r>
    </w:p>
  </w:comment>
  <w:comment w:id="2" w:author="korneva_oa" w:date="2026-05-04T14:51:22Z" w:initials="k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УСЛУГИ</w:t>
      </w:r>
    </w:p>
  </w:comment>
  <w:comment w:id="0" w:author="korneva_oa" w:date="2026-05-04T14:47:32Z" w:initials="k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Требования к способам окозания услуг, наверно имелось ввиду: электромагнитный/ ультразвуковой / виброак. и т.д?</w:t>
      </w:r>
    </w:p>
  </w:comment>
  <w:comment w:id="1" w:author="korneva_oa" w:date="2026-05-05T08:54:53Z" w:initials="k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 Вас ниже описание методов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1"/>
  <w15:commentEx w15:paraId="00000003" w15:done="1"/>
  <w15:commentEx w15:paraId="00000004" w15:done="1"/>
  <w15:commentEx w15:paraId="00000005" w15:paraIdParent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1EE7E3B" w16cex:dateUtc="2026-05-04T05:55:07Z"/>
  <w16cex:commentExtensible w16cex:durableId="51E6177D" w16cex:dateUtc="2026-05-05T00:01:38Z"/>
  <w16cex:commentExtensible w16cex:durableId="0DBC1A67" w16cex:dateUtc="2026-05-04T05:51:22Z"/>
  <w16cex:commentExtensible w16cex:durableId="4CF5D353" w16cex:dateUtc="2026-05-04T05:47:32Z"/>
  <w16cex:commentExtensible w16cex:durableId="489452C5" w16cex:dateUtc="2026-05-04T23:54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1EE7E3B"/>
  <w16cid:commentId w16cid:paraId="00000002" w16cid:durableId="51E6177D"/>
  <w16cid:commentId w16cid:paraId="00000003" w16cid:durableId="0DBC1A67"/>
  <w16cid:commentId w16cid:paraId="00000004" w16cid:durableId="4CF5D353"/>
  <w16cid:commentId w16cid:paraId="00000005" w16cid:durableId="489452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Helvetica">
    <w:panose1 w:val="020B0604020202020204"/>
  </w:font>
  <w:font w:name="SimSun">
    <w:panose1 w:val="02000603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87"/>
      </w:rPr>
      <w:framePr w:wrap="around" w:vAnchor="text" w:hAnchor="margin" w:xAlign="center" w:y="1"/>
    </w:pPr>
    <w:r>
      <w:rPr>
        <w:rStyle w:val="987"/>
      </w:rPr>
      <w:fldChar w:fldCharType="begin"/>
    </w:r>
    <w:r>
      <w:rPr>
        <w:rStyle w:val="987"/>
      </w:rPr>
      <w:instrText xml:space="preserve">PAGE  </w:instrText>
    </w:r>
    <w:r>
      <w:rPr>
        <w:rStyle w:val="987"/>
      </w:rPr>
      <w:fldChar w:fldCharType="separate"/>
    </w:r>
    <w:r>
      <w:rPr>
        <w:rStyle w:val="987"/>
      </w:rPr>
      <w:t xml:space="preserve">6</w:t>
    </w:r>
    <w:r>
      <w:rPr>
        <w:rStyle w:val="987"/>
      </w:rPr>
      <w:fldChar w:fldCharType="end"/>
    </w:r>
    <w:r>
      <w:rPr>
        <w:rStyle w:val="987"/>
      </w:rPr>
    </w:r>
    <w:r>
      <w:rPr>
        <w:rStyle w:val="987"/>
      </w:rPr>
    </w:r>
  </w:p>
  <w:p>
    <w:pPr>
      <w:pStyle w:val="9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" w:hanging="413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10" w:hanging="41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20" w:hanging="41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30" w:hanging="41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1" w:hanging="4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4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61" w:hanging="4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072" w:hanging="4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782" w:hanging="413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360" w:hanging="360"/>
        <w:tabs>
          <w:tab w:val="num" w:pos="360" w:leader="none"/>
        </w:tabs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60" w:hanging="360"/>
        <w:tabs>
          <w:tab w:val="num" w:pos="3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080" w:hanging="360"/>
        <w:tabs>
          <w:tab w:val="num" w:pos="10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pStyle w:val="1081"/>
      <w:isLgl w:val="false"/>
      <w:suff w:val="space"/>
      <w:lvlText w:val=""/>
      <w:lvlJc w:val="left"/>
      <w:pPr>
        <w:ind w:left="284" w:firstLine="851"/>
      </w:pPr>
      <w:rPr>
        <w:rFonts w:hint="default" w:ascii="Symbol" w:hAnsi="Symbol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8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60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32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4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6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8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20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2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44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pStyle w:val="77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7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7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06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styleLink w:val="1048"/>
    <w:lvl w:ilvl="0">
      <w:start w:val="1"/>
      <w:numFmt w:val="decimal"/>
      <w:pStyle w:val="104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0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5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5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5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5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27">
    <w:multiLevelType w:val="hybridMultilevel"/>
    <w:lvl w:ilvl="0">
      <w:start w:val="4"/>
      <w:numFmt w:val="bullet"/>
      <w:pStyle w:val="103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3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pStyle w:val="96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6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3">
    <w:multiLevelType w:val="hybridMultilevel"/>
    <w:styleLink w:val="1044"/>
    <w:lvl w:ilvl="0">
      <w:start w:val="3"/>
      <w:numFmt w:val="decimal"/>
      <w:pStyle w:val="104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54" w:hanging="360"/>
      </w:pPr>
      <w:rPr>
        <w:rFonts w:hint="default" w:ascii="Courier New" w:hAnsi="Courier New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  <w:tabs>
          <w:tab w:val="num" w:pos="0" w:leader="none"/>
        </w:tabs>
      </w:pPr>
      <w:rPr>
        <w:b/>
        <w:bCs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  <w:tabs>
          <w:tab w:val="num" w:pos="0" w:leader="none"/>
        </w:tabs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420" w:hanging="420"/>
        <w:tabs>
          <w:tab w:val="num" w:pos="420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9"/>
  </w:num>
  <w:num w:numId="2">
    <w:abstractNumId w:val="27"/>
  </w:num>
  <w:num w:numId="3">
    <w:abstractNumId w:val="33"/>
  </w:num>
  <w:num w:numId="4">
    <w:abstractNumId w:val="16"/>
  </w:num>
  <w:num w:numId="5">
    <w:abstractNumId w:val="18"/>
  </w:num>
  <w:num w:numId="6">
    <w:abstractNumId w:val="25"/>
  </w:num>
  <w:num w:numId="7">
    <w:abstractNumId w:val="17"/>
  </w:num>
  <w:num w:numId="8">
    <w:abstractNumId w:val="5"/>
  </w:num>
  <w:num w:numId="9">
    <w:abstractNumId w:val="26"/>
  </w:num>
  <w:num w:numId="10">
    <w:abstractNumId w:val="15"/>
  </w:num>
  <w:num w:numId="11">
    <w:abstractNumId w:val="19"/>
  </w:num>
  <w:num w:numId="12">
    <w:abstractNumId w:val="30"/>
  </w:num>
  <w:num w:numId="13">
    <w:abstractNumId w:val="1"/>
  </w:num>
  <w:num w:numId="14">
    <w:abstractNumId w:val="24"/>
  </w:num>
  <w:num w:numId="15">
    <w:abstractNumId w:val="11"/>
  </w:num>
  <w:num w:numId="16">
    <w:abstractNumId w:val="31"/>
  </w:num>
  <w:num w:numId="17">
    <w:abstractNumId w:val="10"/>
  </w:num>
  <w:num w:numId="18">
    <w:abstractNumId w:val="2"/>
  </w:num>
  <w:num w:numId="19">
    <w:abstractNumId w:val="23"/>
  </w:num>
  <w:num w:numId="20">
    <w:abstractNumId w:val="7"/>
  </w:num>
  <w:num w:numId="21">
    <w:abstractNumId w:val="20"/>
  </w:num>
  <w:num w:numId="22">
    <w:abstractNumId w:val="9"/>
  </w:num>
  <w:num w:numId="23">
    <w:abstractNumId w:val="4"/>
  </w:num>
  <w:num w:numId="24">
    <w:abstractNumId w:val="32"/>
  </w:num>
  <w:num w:numId="25">
    <w:abstractNumId w:val="12"/>
  </w:num>
  <w:num w:numId="26">
    <w:abstractNumId w:val="13"/>
  </w:num>
  <w:num w:numId="27">
    <w:abstractNumId w:val="0"/>
  </w:num>
  <w:num w:numId="28">
    <w:abstractNumId w:val="21"/>
  </w:num>
  <w:num w:numId="29">
    <w:abstractNumId w:val="6"/>
  </w:num>
  <w:num w:numId="30">
    <w:abstractNumId w:val="28"/>
  </w:num>
  <w:num w:numId="31">
    <w:abstractNumId w:val="22"/>
  </w:num>
  <w:num w:numId="32">
    <w:abstractNumId w:val="34"/>
  </w:num>
  <w:num w:numId="33">
    <w:abstractNumId w:val="3"/>
  </w:num>
  <w:num w:numId="34">
    <w:abstractNumId w:val="8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rneva_oa">
    <w15:presenceInfo w15:providerId="Teamlab" w15:userId="korneva_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9" w:default="1">
    <w:name w:val="Normal"/>
    <w:qFormat/>
    <w:rPr>
      <w:sz w:val="28"/>
      <w:szCs w:val="28"/>
    </w:rPr>
  </w:style>
  <w:style w:type="paragraph" w:styleId="770">
    <w:name w:val="Heading 1"/>
    <w:basedOn w:val="772"/>
    <w:next w:val="769"/>
    <w:link w:val="1007"/>
    <w:qFormat/>
    <w:pPr>
      <w:numPr>
        <w:ilvl w:val="0"/>
      </w:numPr>
      <w:outlineLvl w:val="0"/>
    </w:pPr>
    <w:rPr>
      <w:sz w:val="28"/>
      <w:szCs w:val="28"/>
    </w:rPr>
  </w:style>
  <w:style w:type="paragraph" w:styleId="771">
    <w:name w:val="Heading 2"/>
    <w:basedOn w:val="773"/>
    <w:next w:val="769"/>
    <w:link w:val="1009"/>
    <w:qFormat/>
    <w:pPr>
      <w:outlineLvl w:val="1"/>
    </w:pPr>
  </w:style>
  <w:style w:type="paragraph" w:styleId="772">
    <w:name w:val="Heading 3"/>
    <w:basedOn w:val="769"/>
    <w:next w:val="769"/>
    <w:link w:val="101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73">
    <w:name w:val="Heading 4"/>
    <w:basedOn w:val="772"/>
    <w:next w:val="769"/>
    <w:link w:val="1011"/>
    <w:qFormat/>
    <w:pPr>
      <w:numPr>
        <w:ilvl w:val="1"/>
      </w:numPr>
      <w:outlineLvl w:val="3"/>
    </w:pPr>
    <w:rPr>
      <w:bCs/>
    </w:rPr>
  </w:style>
  <w:style w:type="paragraph" w:styleId="774">
    <w:name w:val="Heading 5"/>
    <w:basedOn w:val="769"/>
    <w:next w:val="769"/>
    <w:link w:val="101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5">
    <w:name w:val="Heading 6"/>
    <w:basedOn w:val="769"/>
    <w:next w:val="769"/>
    <w:link w:val="100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76">
    <w:name w:val="Heading 7"/>
    <w:basedOn w:val="769"/>
    <w:next w:val="769"/>
    <w:link w:val="100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77">
    <w:name w:val="Heading 8"/>
    <w:basedOn w:val="769"/>
    <w:next w:val="769"/>
    <w:link w:val="100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78">
    <w:name w:val="Heading 9"/>
    <w:basedOn w:val="769"/>
    <w:next w:val="769"/>
    <w:link w:val="101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79" w:default="1">
    <w:name w:val="Default Paragraph Font"/>
    <w:uiPriority w:val="1"/>
    <w:semiHidden/>
    <w:unhideWhenUsed/>
  </w:style>
  <w:style w:type="table" w:styleId="7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1" w:default="1">
    <w:name w:val="No List"/>
    <w:uiPriority w:val="99"/>
    <w:semiHidden/>
    <w:unhideWhenUsed/>
  </w:style>
  <w:style w:type="table" w:styleId="782">
    <w:name w:val="Plain Table 1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7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7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basedOn w:val="7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>
    <w:name w:val="Grid Table 5 Dark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2">
    <w:name w:val="Grid Table 6 Colorful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>
    <w:name w:val="Grid Table 7 Colorful"/>
    <w:basedOn w:val="7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7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7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7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>
    <w:name w:val="List Table 7 Colorful"/>
    <w:basedOn w:val="7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01" w:customStyle="1">
    <w:name w:val="Title Char"/>
    <w:basedOn w:val="779"/>
    <w:uiPriority w:val="10"/>
    <w:rPr>
      <w:sz w:val="48"/>
      <w:szCs w:val="48"/>
    </w:rPr>
  </w:style>
  <w:style w:type="table" w:styleId="802" w:customStyle="1">
    <w:name w:val="Таблица простая 11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 w:customStyle="1">
    <w:name w:val="Таблица простая 21"/>
    <w:basedOn w:val="7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 w:customStyle="1">
    <w:name w:val="Таблица простая 3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 w:customStyle="1">
    <w:name w:val="Таблица простая 4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Таблица простая 5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1 светлая1"/>
    <w:basedOn w:val="7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Таблица-сетка 2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Таблица-сетка 3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Таблица-сетка 41"/>
    <w:basedOn w:val="7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1" w:customStyle="1">
    <w:name w:val="Таблица-сетка 5 темная1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2" w:customStyle="1">
    <w:name w:val="Таблица-сетк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Таблица-сетка 7 цветная1"/>
    <w:basedOn w:val="7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Список-таблица 1 светлая1"/>
    <w:basedOn w:val="7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Список-таблица 21"/>
    <w:basedOn w:val="7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6" w:customStyle="1">
    <w:name w:val="Список-таблица 3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Список-таблица 4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Список-таблица 5 темная1"/>
    <w:basedOn w:val="7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Список-таблиц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Список-таблица 7 цветная1"/>
    <w:basedOn w:val="7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21" w:customStyle="1">
    <w:name w:val="Heading 1 Char"/>
    <w:basedOn w:val="779"/>
    <w:uiPriority w:val="9"/>
    <w:rPr>
      <w:rFonts w:ascii="Arial" w:hAnsi="Arial" w:eastAsia="Arial" w:cs="Arial"/>
      <w:sz w:val="40"/>
      <w:szCs w:val="40"/>
    </w:rPr>
  </w:style>
  <w:style w:type="character" w:styleId="822" w:customStyle="1">
    <w:name w:val="Heading 2 Char"/>
    <w:basedOn w:val="779"/>
    <w:uiPriority w:val="9"/>
    <w:rPr>
      <w:rFonts w:ascii="Arial" w:hAnsi="Arial" w:eastAsia="Arial" w:cs="Arial"/>
      <w:sz w:val="34"/>
    </w:rPr>
  </w:style>
  <w:style w:type="character" w:styleId="823" w:customStyle="1">
    <w:name w:val="Heading 3 Char"/>
    <w:basedOn w:val="779"/>
    <w:uiPriority w:val="9"/>
    <w:rPr>
      <w:rFonts w:ascii="Arial" w:hAnsi="Arial" w:eastAsia="Arial" w:cs="Arial"/>
      <w:sz w:val="30"/>
      <w:szCs w:val="30"/>
    </w:rPr>
  </w:style>
  <w:style w:type="character" w:styleId="824" w:customStyle="1">
    <w:name w:val="Heading 4 Char"/>
    <w:basedOn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825" w:customStyle="1">
    <w:name w:val="Heading 5 Char"/>
    <w:basedOn w:val="779"/>
    <w:uiPriority w:val="9"/>
    <w:rPr>
      <w:rFonts w:ascii="Arial" w:hAnsi="Arial" w:eastAsia="Arial" w:cs="Arial"/>
      <w:b/>
      <w:bCs/>
      <w:sz w:val="24"/>
      <w:szCs w:val="24"/>
    </w:rPr>
  </w:style>
  <w:style w:type="character" w:styleId="826" w:customStyle="1">
    <w:name w:val="Heading 6 Char"/>
    <w:basedOn w:val="779"/>
    <w:uiPriority w:val="9"/>
    <w:rPr>
      <w:rFonts w:ascii="Arial" w:hAnsi="Arial" w:eastAsia="Arial" w:cs="Arial"/>
      <w:b/>
      <w:bCs/>
      <w:sz w:val="22"/>
      <w:szCs w:val="22"/>
    </w:rPr>
  </w:style>
  <w:style w:type="character" w:styleId="827" w:customStyle="1">
    <w:name w:val="Heading 7 Char"/>
    <w:basedOn w:val="7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8" w:customStyle="1">
    <w:name w:val="Heading 8 Char"/>
    <w:basedOn w:val="779"/>
    <w:uiPriority w:val="9"/>
    <w:rPr>
      <w:rFonts w:ascii="Arial" w:hAnsi="Arial" w:eastAsia="Arial" w:cs="Arial"/>
      <w:i/>
      <w:iCs/>
      <w:sz w:val="22"/>
      <w:szCs w:val="22"/>
    </w:rPr>
  </w:style>
  <w:style w:type="character" w:styleId="829" w:customStyle="1">
    <w:name w:val="Heading 9 Char"/>
    <w:basedOn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830">
    <w:name w:val="Title"/>
    <w:basedOn w:val="769"/>
    <w:next w:val="769"/>
    <w:link w:val="8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1" w:customStyle="1">
    <w:name w:val="Заголовок Знак"/>
    <w:basedOn w:val="779"/>
    <w:link w:val="830"/>
    <w:uiPriority w:val="10"/>
    <w:rPr>
      <w:sz w:val="48"/>
      <w:szCs w:val="48"/>
    </w:rPr>
  </w:style>
  <w:style w:type="character" w:styleId="832" w:customStyle="1">
    <w:name w:val="Subtitle Char"/>
    <w:basedOn w:val="779"/>
    <w:uiPriority w:val="11"/>
    <w:rPr>
      <w:sz w:val="24"/>
      <w:szCs w:val="24"/>
    </w:rPr>
  </w:style>
  <w:style w:type="character" w:styleId="833" w:customStyle="1">
    <w:name w:val="Quote Char"/>
    <w:uiPriority w:val="29"/>
    <w:rPr>
      <w:i/>
    </w:rPr>
  </w:style>
  <w:style w:type="character" w:styleId="834" w:customStyle="1">
    <w:name w:val="Intense Quote Char"/>
    <w:uiPriority w:val="30"/>
    <w:rPr>
      <w:i/>
    </w:rPr>
  </w:style>
  <w:style w:type="character" w:styleId="835" w:customStyle="1">
    <w:name w:val="Header Char"/>
    <w:basedOn w:val="779"/>
    <w:uiPriority w:val="99"/>
  </w:style>
  <w:style w:type="character" w:styleId="836" w:customStyle="1">
    <w:name w:val="Footer Char"/>
    <w:basedOn w:val="779"/>
    <w:uiPriority w:val="99"/>
  </w:style>
  <w:style w:type="character" w:styleId="837" w:customStyle="1">
    <w:name w:val="Caption Char"/>
    <w:uiPriority w:val="99"/>
  </w:style>
  <w:style w:type="table" w:styleId="838" w:customStyle="1">
    <w:name w:val="Table Grid Light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9" w:customStyle="1">
    <w:name w:val="Таблица простая 11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 w:customStyle="1">
    <w:name w:val="Таблица простая 21"/>
    <w:basedOn w:val="7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 w:customStyle="1">
    <w:name w:val="Таблица простая 3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2" w:customStyle="1">
    <w:name w:val="Таблица простая 4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Таблица простая 5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4" w:customStyle="1">
    <w:name w:val="Таблица-сетка 1 светлая1"/>
    <w:basedOn w:val="7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1"/>
    <w:basedOn w:val="78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2"/>
    <w:basedOn w:val="7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3"/>
    <w:basedOn w:val="7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4"/>
    <w:basedOn w:val="7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5"/>
    <w:basedOn w:val="78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6"/>
    <w:basedOn w:val="7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Таблица-сетка 2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1"/>
    <w:basedOn w:val="78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2"/>
    <w:basedOn w:val="7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3"/>
    <w:basedOn w:val="7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4"/>
    <w:basedOn w:val="7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5"/>
    <w:basedOn w:val="78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6"/>
    <w:basedOn w:val="7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Таблица-сетка 3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1"/>
    <w:basedOn w:val="78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2"/>
    <w:basedOn w:val="7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3"/>
    <w:basedOn w:val="7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4"/>
    <w:basedOn w:val="7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5"/>
    <w:basedOn w:val="78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6"/>
    <w:basedOn w:val="7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Таблица-сетка 41"/>
    <w:basedOn w:val="7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6" w:customStyle="1">
    <w:name w:val="Grid Table 4 - Accent 1"/>
    <w:basedOn w:val="78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67" w:customStyle="1">
    <w:name w:val="Grid Table 4 - Accent 2"/>
    <w:basedOn w:val="78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Grid Table 4 - Accent 3"/>
    <w:basedOn w:val="78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9" w:customStyle="1">
    <w:name w:val="Grid Table 4 - Accent 4"/>
    <w:basedOn w:val="78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Grid Table 4 - Accent 5"/>
    <w:basedOn w:val="78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71" w:customStyle="1">
    <w:name w:val="Grid Table 4 - Accent 6"/>
    <w:basedOn w:val="78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2" w:customStyle="1">
    <w:name w:val="Таблица-сетка 5 темная1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1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2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3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- Accent 4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5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6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9" w:customStyle="1">
    <w:name w:val="Таблица-сетк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0" w:customStyle="1">
    <w:name w:val="Grid Table 6 Colorful - Accent 1"/>
    <w:basedOn w:val="78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1" w:customStyle="1">
    <w:name w:val="Grid Table 6 Colorful - Accent 2"/>
    <w:basedOn w:val="7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2" w:customStyle="1">
    <w:name w:val="Grid Table 6 Colorful - Accent 3"/>
    <w:basedOn w:val="78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3" w:customStyle="1">
    <w:name w:val="Grid Table 6 Colorful - Accent 4"/>
    <w:basedOn w:val="7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4" w:customStyle="1">
    <w:name w:val="Grid Table 6 Colorful - Accent 5"/>
    <w:basedOn w:val="78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5" w:customStyle="1">
    <w:name w:val="Grid Table 6 Colorful - Accent 6"/>
    <w:basedOn w:val="78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6" w:customStyle="1">
    <w:name w:val="Таблица-сетка 7 цветная1"/>
    <w:basedOn w:val="7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1"/>
    <w:basedOn w:val="78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2"/>
    <w:basedOn w:val="78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3"/>
    <w:basedOn w:val="78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4"/>
    <w:basedOn w:val="78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5"/>
    <w:basedOn w:val="78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6"/>
    <w:basedOn w:val="78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Список-таблица 1 светлая1"/>
    <w:basedOn w:val="7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1"/>
    <w:basedOn w:val="78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2"/>
    <w:basedOn w:val="78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3"/>
    <w:basedOn w:val="78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4"/>
    <w:basedOn w:val="78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5"/>
    <w:basedOn w:val="78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6"/>
    <w:basedOn w:val="78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Список-таблица 21"/>
    <w:basedOn w:val="7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1"/>
    <w:basedOn w:val="78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2"/>
    <w:basedOn w:val="78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3"/>
    <w:basedOn w:val="78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4"/>
    <w:basedOn w:val="78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5"/>
    <w:basedOn w:val="78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6"/>
    <w:basedOn w:val="78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7" w:customStyle="1">
    <w:name w:val="Список-таблица 3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1"/>
    <w:basedOn w:val="78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2"/>
    <w:basedOn w:val="7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3"/>
    <w:basedOn w:val="78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4"/>
    <w:basedOn w:val="7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5"/>
    <w:basedOn w:val="78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6"/>
    <w:basedOn w:val="78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Список-таблица 4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1"/>
    <w:basedOn w:val="78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2"/>
    <w:basedOn w:val="78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3"/>
    <w:basedOn w:val="78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4"/>
    <w:basedOn w:val="78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5"/>
    <w:basedOn w:val="78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6"/>
    <w:basedOn w:val="78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Список-таблица 5 темная1"/>
    <w:basedOn w:val="7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1"/>
    <w:basedOn w:val="78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2"/>
    <w:basedOn w:val="78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3"/>
    <w:basedOn w:val="78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4"/>
    <w:basedOn w:val="78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5"/>
    <w:basedOn w:val="78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6"/>
    <w:basedOn w:val="78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Список-таблиц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9" w:customStyle="1">
    <w:name w:val="List Table 6 Colorful - Accent 1"/>
    <w:basedOn w:val="78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30" w:customStyle="1">
    <w:name w:val="List Table 6 Colorful - Accent 2"/>
    <w:basedOn w:val="78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1" w:customStyle="1">
    <w:name w:val="List Table 6 Colorful - Accent 3"/>
    <w:basedOn w:val="78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2" w:customStyle="1">
    <w:name w:val="List Table 6 Colorful - Accent 4"/>
    <w:basedOn w:val="78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3" w:customStyle="1">
    <w:name w:val="List Table 6 Colorful - Accent 5"/>
    <w:basedOn w:val="78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34" w:customStyle="1">
    <w:name w:val="List Table 6 Colorful - Accent 6"/>
    <w:basedOn w:val="78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5" w:customStyle="1">
    <w:name w:val="Список-таблица 7 цветная1"/>
    <w:basedOn w:val="7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1"/>
    <w:basedOn w:val="78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2"/>
    <w:basedOn w:val="78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3"/>
    <w:basedOn w:val="78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4"/>
    <w:basedOn w:val="78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5"/>
    <w:basedOn w:val="78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6"/>
    <w:basedOn w:val="78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ned - Accent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3" w:customStyle="1">
    <w:name w:val="Lined - Accent 1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4" w:customStyle="1">
    <w:name w:val="Lined - Accent 2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5" w:customStyle="1">
    <w:name w:val="Lined - Accent 3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6" w:customStyle="1">
    <w:name w:val="Lined - Accent 4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7" w:customStyle="1">
    <w:name w:val="Lined - Accent 5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48" w:customStyle="1">
    <w:name w:val="Lined - Accent 6"/>
    <w:basedOn w:val="7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9" w:customStyle="1">
    <w:name w:val="Bordered &amp; Lined - Accent"/>
    <w:basedOn w:val="7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0" w:customStyle="1">
    <w:name w:val="Bordered &amp; Lined - Accent 1"/>
    <w:basedOn w:val="78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51" w:customStyle="1">
    <w:name w:val="Bordered &amp; Lined - Accent 2"/>
    <w:basedOn w:val="78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2" w:customStyle="1">
    <w:name w:val="Bordered &amp; Lined - Accent 3"/>
    <w:basedOn w:val="78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3" w:customStyle="1">
    <w:name w:val="Bordered &amp; Lined - Accent 4"/>
    <w:basedOn w:val="78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4" w:customStyle="1">
    <w:name w:val="Bordered &amp; Lined - Accent 5"/>
    <w:basedOn w:val="78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5" w:customStyle="1">
    <w:name w:val="Bordered &amp; Lined - Accent 6"/>
    <w:basedOn w:val="78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6" w:customStyle="1">
    <w:name w:val="Bordered"/>
    <w:basedOn w:val="7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7" w:customStyle="1">
    <w:name w:val="Bordered - Accent 1"/>
    <w:basedOn w:val="78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58" w:customStyle="1">
    <w:name w:val="Bordered - Accent 2"/>
    <w:basedOn w:val="7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9" w:customStyle="1">
    <w:name w:val="Bordered - Accent 3"/>
    <w:basedOn w:val="7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0" w:customStyle="1">
    <w:name w:val="Bordered - Accent 4"/>
    <w:basedOn w:val="7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1" w:customStyle="1">
    <w:name w:val="Bordered - Accent 5"/>
    <w:basedOn w:val="78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62" w:customStyle="1">
    <w:name w:val="Bordered - Accent 6"/>
    <w:basedOn w:val="7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3" w:customStyle="1">
    <w:name w:val="Footnote Text Char"/>
    <w:uiPriority w:val="99"/>
    <w:rPr>
      <w:sz w:val="18"/>
    </w:rPr>
  </w:style>
  <w:style w:type="character" w:styleId="964" w:customStyle="1">
    <w:name w:val="Endnote Text Char"/>
    <w:uiPriority w:val="99"/>
    <w:rPr>
      <w:sz w:val="20"/>
    </w:rPr>
  </w:style>
  <w:style w:type="paragraph" w:styleId="965">
    <w:name w:val="table of figures"/>
    <w:basedOn w:val="769"/>
    <w:next w:val="769"/>
    <w:uiPriority w:val="99"/>
    <w:unhideWhenUsed/>
  </w:style>
  <w:style w:type="paragraph" w:styleId="966" w:customStyle="1">
    <w:name w:val="Название раздела инструкции"/>
    <w:basedOn w:val="769"/>
    <w:pPr>
      <w:jc w:val="center"/>
    </w:pPr>
    <w:rPr>
      <w:b/>
    </w:rPr>
  </w:style>
  <w:style w:type="paragraph" w:styleId="967" w:customStyle="1">
    <w:name w:val="Раздел положения"/>
    <w:basedOn w:val="76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8" w:customStyle="1">
    <w:name w:val="Подраздел раздела положения"/>
    <w:basedOn w:val="769"/>
    <w:pPr>
      <w:numPr>
        <w:ilvl w:val="1"/>
        <w:numId w:val="1"/>
      </w:numPr>
      <w:jc w:val="both"/>
      <w:spacing w:before="80" w:after="80"/>
    </w:pPr>
  </w:style>
  <w:style w:type="paragraph" w:styleId="969">
    <w:name w:val="footnote text"/>
    <w:basedOn w:val="769"/>
    <w:link w:val="1043"/>
    <w:uiPriority w:val="99"/>
    <w:rPr>
      <w:sz w:val="20"/>
      <w:szCs w:val="20"/>
    </w:rPr>
  </w:style>
  <w:style w:type="character" w:styleId="970">
    <w:name w:val="footnote reference"/>
    <w:rPr>
      <w:vertAlign w:val="superscript"/>
    </w:rPr>
  </w:style>
  <w:style w:type="paragraph" w:styleId="971" w:customStyle="1">
    <w:name w:val="Шапка 1"/>
    <w:basedOn w:val="76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2" w:customStyle="1">
    <w:name w:val="Шапка 2"/>
    <w:basedOn w:val="76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3" w:customStyle="1">
    <w:name w:val="Шапка 3"/>
    <w:basedOn w:val="76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4" w:customStyle="1">
    <w:name w:val="Название1"/>
    <w:basedOn w:val="769"/>
    <w:link w:val="1016"/>
    <w:uiPriority w:val="10"/>
    <w:qFormat/>
    <w:pPr>
      <w:jc w:val="center"/>
    </w:pPr>
    <w:rPr>
      <w:szCs w:val="20"/>
    </w:rPr>
  </w:style>
  <w:style w:type="paragraph" w:styleId="975">
    <w:name w:val="Header"/>
    <w:basedOn w:val="769"/>
    <w:link w:val="106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6">
    <w:name w:val="Body Text Indent"/>
    <w:basedOn w:val="769"/>
    <w:pPr>
      <w:ind w:left="360"/>
    </w:pPr>
    <w:rPr>
      <w:sz w:val="24"/>
      <w:szCs w:val="24"/>
    </w:rPr>
  </w:style>
  <w:style w:type="table" w:styleId="977">
    <w:name w:val="Table Grid"/>
    <w:basedOn w:val="78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8">
    <w:name w:val="Footer"/>
    <w:basedOn w:val="769"/>
    <w:link w:val="1078"/>
    <w:uiPriority w:val="99"/>
    <w:pPr>
      <w:tabs>
        <w:tab w:val="center" w:pos="4677" w:leader="none"/>
        <w:tab w:val="right" w:pos="9355" w:leader="none"/>
      </w:tabs>
    </w:pPr>
  </w:style>
  <w:style w:type="paragraph" w:styleId="979">
    <w:name w:val="Body Text"/>
    <w:basedOn w:val="769"/>
    <w:link w:val="1046"/>
    <w:pPr>
      <w:spacing w:after="120"/>
    </w:pPr>
  </w:style>
  <w:style w:type="paragraph" w:styleId="980">
    <w:name w:val="Body Text Indent 2"/>
    <w:basedOn w:val="769"/>
    <w:pPr>
      <w:ind w:left="283"/>
      <w:spacing w:after="120" w:line="480" w:lineRule="auto"/>
    </w:pPr>
  </w:style>
  <w:style w:type="paragraph" w:styleId="981">
    <w:name w:val="Body Text 3"/>
    <w:basedOn w:val="769"/>
    <w:pPr>
      <w:spacing w:after="120"/>
    </w:pPr>
    <w:rPr>
      <w:sz w:val="16"/>
      <w:szCs w:val="16"/>
    </w:rPr>
  </w:style>
  <w:style w:type="paragraph" w:styleId="982">
    <w:name w:val="Body Text Indent 3"/>
    <w:basedOn w:val="769"/>
    <w:link w:val="1077"/>
    <w:uiPriority w:val="99"/>
    <w:pPr>
      <w:ind w:left="283"/>
      <w:spacing w:after="120"/>
    </w:pPr>
    <w:rPr>
      <w:sz w:val="16"/>
      <w:szCs w:val="16"/>
    </w:rPr>
  </w:style>
  <w:style w:type="paragraph" w:styleId="983">
    <w:name w:val="Body Text 2"/>
    <w:basedOn w:val="769"/>
    <w:pPr>
      <w:spacing w:after="120" w:line="480" w:lineRule="auto"/>
    </w:pPr>
  </w:style>
  <w:style w:type="paragraph" w:styleId="984">
    <w:name w:val="Block Text"/>
    <w:basedOn w:val="769"/>
    <w:pPr>
      <w:ind w:left="-567" w:right="-766"/>
      <w:jc w:val="center"/>
    </w:pPr>
    <w:rPr>
      <w:b/>
      <w:bCs/>
      <w:sz w:val="24"/>
      <w:szCs w:val="20"/>
    </w:rPr>
  </w:style>
  <w:style w:type="paragraph" w:styleId="985" w:customStyle="1">
    <w:name w:val="Подпункт"/>
    <w:basedOn w:val="769"/>
    <w:link w:val="104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86" w:customStyle="1">
    <w:name w:val="Пункт2"/>
    <w:basedOn w:val="769"/>
    <w:link w:val="106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87">
    <w:name w:val="page number"/>
    <w:basedOn w:val="779"/>
  </w:style>
  <w:style w:type="paragraph" w:styleId="988">
    <w:name w:val="toc 1"/>
    <w:basedOn w:val="769"/>
    <w:next w:val="76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89">
    <w:name w:val="toc 3"/>
    <w:basedOn w:val="769"/>
    <w:next w:val="769"/>
    <w:uiPriority w:val="39"/>
    <w:pPr>
      <w:ind w:left="280"/>
    </w:pPr>
    <w:rPr>
      <w:rFonts w:cstheme="minorHAnsi"/>
      <w:sz w:val="20"/>
      <w:szCs w:val="20"/>
    </w:rPr>
  </w:style>
  <w:style w:type="character" w:styleId="990">
    <w:name w:val="Hyperlink"/>
    <w:uiPriority w:val="99"/>
    <w:rPr>
      <w:color w:val="0000ff"/>
      <w:u w:val="single"/>
    </w:rPr>
  </w:style>
  <w:style w:type="paragraph" w:styleId="991" w:customStyle="1">
    <w:name w:val="Раздел регламента"/>
    <w:basedOn w:val="769"/>
  </w:style>
  <w:style w:type="paragraph" w:styleId="992" w:customStyle="1">
    <w:name w:val="Приложение к регламенту"/>
    <w:basedOn w:val="769"/>
    <w:pPr>
      <w:jc w:val="right"/>
    </w:pPr>
  </w:style>
  <w:style w:type="paragraph" w:styleId="993">
    <w:name w:val="toc 2"/>
    <w:basedOn w:val="769"/>
    <w:next w:val="76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4">
    <w:name w:val="Balloon Text"/>
    <w:basedOn w:val="769"/>
    <w:semiHidden/>
    <w:rPr>
      <w:rFonts w:ascii="Tahoma" w:hAnsi="Tahoma" w:cs="Tahoma"/>
      <w:sz w:val="16"/>
      <w:szCs w:val="16"/>
    </w:rPr>
  </w:style>
  <w:style w:type="character" w:styleId="995">
    <w:name w:val="annotation reference"/>
    <w:uiPriority w:val="99"/>
    <w:semiHidden/>
    <w:rPr>
      <w:sz w:val="16"/>
      <w:szCs w:val="16"/>
    </w:rPr>
  </w:style>
  <w:style w:type="paragraph" w:styleId="996">
    <w:name w:val="annotation text"/>
    <w:basedOn w:val="769"/>
    <w:link w:val="1061"/>
    <w:uiPriority w:val="99"/>
    <w:semiHidden/>
    <w:rPr>
      <w:sz w:val="20"/>
      <w:szCs w:val="20"/>
    </w:rPr>
  </w:style>
  <w:style w:type="paragraph" w:styleId="997">
    <w:name w:val="annotation subject"/>
    <w:basedOn w:val="996"/>
    <w:next w:val="996"/>
    <w:semiHidden/>
    <w:rPr>
      <w:b/>
      <w:bCs/>
    </w:rPr>
  </w:style>
  <w:style w:type="paragraph" w:styleId="998" w:customStyle="1">
    <w:name w:val="Обычный (веб)1"/>
    <w:basedOn w:val="76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99">
    <w:name w:val="toc 9"/>
    <w:basedOn w:val="769"/>
    <w:next w:val="76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0">
    <w:name w:val="toc 5"/>
    <w:basedOn w:val="769"/>
    <w:next w:val="76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1">
    <w:name w:val="toc 4"/>
    <w:basedOn w:val="769"/>
    <w:next w:val="769"/>
    <w:uiPriority w:val="39"/>
    <w:pPr>
      <w:ind w:left="560"/>
    </w:pPr>
    <w:rPr>
      <w:rFonts w:cstheme="minorHAnsi"/>
      <w:sz w:val="20"/>
      <w:szCs w:val="20"/>
    </w:rPr>
  </w:style>
  <w:style w:type="paragraph" w:styleId="1002" w:customStyle="1">
    <w:name w:val="Раздел положения 2"/>
    <w:basedOn w:val="769"/>
    <w:pPr>
      <w:jc w:val="both"/>
      <w:pageBreakBefore/>
      <w:outlineLvl w:val="0"/>
    </w:pPr>
    <w:rPr>
      <w:b/>
    </w:rPr>
  </w:style>
  <w:style w:type="character" w:styleId="1003">
    <w:name w:val="Strong"/>
    <w:qFormat/>
    <w:rPr>
      <w:b/>
      <w:bCs/>
    </w:rPr>
  </w:style>
  <w:style w:type="character" w:styleId="1004" w:customStyle="1">
    <w:name w:val="Заголовок 6 Знак"/>
    <w:link w:val="775"/>
    <w:uiPriority w:val="9"/>
    <w:rPr>
      <w:rFonts w:ascii="Cambria" w:hAnsi="Cambria"/>
      <w:i/>
      <w:iCs/>
      <w:color w:val="243f60"/>
    </w:rPr>
  </w:style>
  <w:style w:type="character" w:styleId="1005" w:customStyle="1">
    <w:name w:val="Заголовок 7 Знак"/>
    <w:link w:val="776"/>
    <w:uiPriority w:val="9"/>
    <w:rPr>
      <w:rFonts w:ascii="Cambria" w:hAnsi="Cambria"/>
      <w:i/>
      <w:iCs/>
      <w:color w:val="404040"/>
    </w:rPr>
  </w:style>
  <w:style w:type="character" w:styleId="1006" w:customStyle="1">
    <w:name w:val="Заголовок 8 Знак"/>
    <w:link w:val="777"/>
    <w:uiPriority w:val="9"/>
    <w:rPr>
      <w:rFonts w:ascii="Cambria" w:hAnsi="Cambria"/>
      <w:color w:val="4f81bd"/>
    </w:rPr>
  </w:style>
  <w:style w:type="character" w:styleId="1007" w:customStyle="1">
    <w:name w:val="Заголовок 1 Знак"/>
    <w:link w:val="770"/>
    <w:rPr>
      <w:rFonts w:eastAsia="Calibri"/>
      <w:b/>
      <w:sz w:val="28"/>
      <w:szCs w:val="28"/>
    </w:rPr>
  </w:style>
  <w:style w:type="paragraph" w:styleId="1008" w:customStyle="1">
    <w:name w:val="Знак Знак Знак Знак Знак Знак Знак Знак Знак"/>
    <w:basedOn w:val="76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09" w:customStyle="1">
    <w:name w:val="Заголовок 2 Знак"/>
    <w:link w:val="771"/>
    <w:rPr>
      <w:rFonts w:eastAsia="Calibri"/>
      <w:b/>
      <w:bCs/>
      <w:sz w:val="24"/>
      <w:szCs w:val="24"/>
    </w:rPr>
  </w:style>
  <w:style w:type="character" w:styleId="1010" w:customStyle="1">
    <w:name w:val="Заголовок 3 Знак"/>
    <w:link w:val="772"/>
    <w:rPr>
      <w:rFonts w:eastAsia="Calibri"/>
      <w:b/>
      <w:sz w:val="24"/>
      <w:szCs w:val="24"/>
    </w:rPr>
  </w:style>
  <w:style w:type="character" w:styleId="1011" w:customStyle="1">
    <w:name w:val="Заголовок 4 Знак"/>
    <w:link w:val="773"/>
    <w:rPr>
      <w:rFonts w:eastAsia="Calibri"/>
      <w:b/>
      <w:bCs/>
      <w:sz w:val="24"/>
      <w:szCs w:val="24"/>
    </w:rPr>
  </w:style>
  <w:style w:type="character" w:styleId="1012" w:customStyle="1">
    <w:name w:val="Заголовок 5 Знак"/>
    <w:link w:val="774"/>
    <w:uiPriority w:val="9"/>
    <w:rPr>
      <w:b/>
      <w:bCs/>
      <w:i/>
      <w:iCs/>
      <w:sz w:val="26"/>
      <w:szCs w:val="26"/>
    </w:rPr>
  </w:style>
  <w:style w:type="character" w:styleId="1013" w:customStyle="1">
    <w:name w:val="Заголовок 9 Знак"/>
    <w:link w:val="778"/>
    <w:uiPriority w:val="9"/>
    <w:rPr>
      <w:rFonts w:ascii="Arial" w:hAnsi="Arial" w:cs="Arial"/>
      <w:sz w:val="22"/>
      <w:szCs w:val="22"/>
    </w:rPr>
  </w:style>
  <w:style w:type="paragraph" w:styleId="1014">
    <w:name w:val="No Spacing"/>
    <w:basedOn w:val="76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15">
    <w:name w:val="Caption"/>
    <w:basedOn w:val="769"/>
    <w:next w:val="769"/>
    <w:link w:val="83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16" w:customStyle="1">
    <w:name w:val="Название Знак"/>
    <w:link w:val="974"/>
    <w:uiPriority w:val="10"/>
    <w:rPr>
      <w:sz w:val="28"/>
    </w:rPr>
  </w:style>
  <w:style w:type="paragraph" w:styleId="1017">
    <w:name w:val="Subtitle"/>
    <w:basedOn w:val="769"/>
    <w:next w:val="769"/>
    <w:link w:val="101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8" w:customStyle="1">
    <w:name w:val="Подзаголовок Знак"/>
    <w:link w:val="101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9">
    <w:name w:val="Emphasis"/>
    <w:uiPriority w:val="20"/>
    <w:qFormat/>
    <w:rPr>
      <w:i/>
      <w:iCs/>
    </w:rPr>
  </w:style>
  <w:style w:type="paragraph" w:styleId="1020">
    <w:name w:val="List Paragraph"/>
    <w:basedOn w:val="769"/>
    <w:link w:val="105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1">
    <w:name w:val="Quote"/>
    <w:basedOn w:val="769"/>
    <w:next w:val="769"/>
    <w:link w:val="102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2" w:customStyle="1">
    <w:name w:val="Цитата 2 Знак"/>
    <w:link w:val="1021"/>
    <w:uiPriority w:val="29"/>
    <w:rPr>
      <w:rFonts w:ascii="Calibri" w:hAnsi="Calibri" w:eastAsia="Calibri"/>
      <w:i/>
      <w:iCs/>
      <w:color w:val="000000"/>
    </w:rPr>
  </w:style>
  <w:style w:type="paragraph" w:styleId="1023">
    <w:name w:val="Intense Quote"/>
    <w:basedOn w:val="769"/>
    <w:next w:val="769"/>
    <w:link w:val="102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4" w:customStyle="1">
    <w:name w:val="Выделенная цитата Знак"/>
    <w:link w:val="102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25">
    <w:name w:val="Subtle Emphasis"/>
    <w:uiPriority w:val="19"/>
    <w:qFormat/>
    <w:rPr>
      <w:i/>
      <w:iCs/>
      <w:color w:val="808080"/>
    </w:rPr>
  </w:style>
  <w:style w:type="character" w:styleId="1026">
    <w:name w:val="Intense Emphasis"/>
    <w:uiPriority w:val="21"/>
    <w:qFormat/>
    <w:rPr>
      <w:b/>
      <w:bCs/>
      <w:i/>
      <w:iCs/>
      <w:color w:val="4f81bd"/>
    </w:rPr>
  </w:style>
  <w:style w:type="character" w:styleId="1027">
    <w:name w:val="Subtle Reference"/>
    <w:uiPriority w:val="31"/>
    <w:qFormat/>
    <w:rPr>
      <w:smallCaps/>
      <w:color w:val="c0504d"/>
      <w:u w:val="single"/>
    </w:rPr>
  </w:style>
  <w:style w:type="character" w:styleId="102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29">
    <w:name w:val="Book Title"/>
    <w:uiPriority w:val="33"/>
    <w:qFormat/>
    <w:rPr>
      <w:b/>
      <w:bCs/>
      <w:smallCaps/>
      <w:spacing w:val="5"/>
    </w:rPr>
  </w:style>
  <w:style w:type="paragraph" w:styleId="1030">
    <w:name w:val="TOC Heading"/>
    <w:basedOn w:val="770"/>
    <w:next w:val="76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1">
    <w:name w:val="E-mail Signature"/>
    <w:basedOn w:val="769"/>
    <w:link w:val="1032"/>
    <w:uiPriority w:val="99"/>
    <w:unhideWhenUsed/>
    <w:rPr>
      <w:rFonts w:eastAsia="Calibri"/>
      <w:sz w:val="24"/>
      <w:szCs w:val="24"/>
    </w:rPr>
  </w:style>
  <w:style w:type="character" w:styleId="1032" w:customStyle="1">
    <w:name w:val="Электронная подпись Знак"/>
    <w:link w:val="1031"/>
    <w:uiPriority w:val="99"/>
    <w:rPr>
      <w:rFonts w:eastAsia="Calibri"/>
      <w:sz w:val="24"/>
      <w:szCs w:val="24"/>
    </w:rPr>
  </w:style>
  <w:style w:type="paragraph" w:styleId="1033" w:customStyle="1">
    <w:name w:val="Знак"/>
    <w:basedOn w:val="76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4" w:customStyle="1">
    <w:name w:val="Нумерованный список ур3"/>
    <w:basedOn w:val="76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35" w:customStyle="1">
    <w:name w:val="Нумерованный список 1"/>
    <w:basedOn w:val="76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6" w:customStyle="1">
    <w:name w:val="Нумерованный список ур2"/>
    <w:basedOn w:val="76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7">
    <w:name w:val="Revision"/>
    <w:hidden/>
    <w:uiPriority w:val="99"/>
    <w:semiHidden/>
    <w:rPr>
      <w:rFonts w:eastAsia="Calibri"/>
      <w:sz w:val="24"/>
      <w:szCs w:val="24"/>
    </w:rPr>
  </w:style>
  <w:style w:type="paragraph" w:styleId="103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9" w:customStyle="1">
    <w:name w:val="Знак Знак3 Знак Знак"/>
    <w:basedOn w:val="76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40" w:customStyle="1">
    <w:name w:val="Пункт"/>
    <w:basedOn w:val="76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1" w:customStyle="1">
    <w:name w:val="Подпункт Знак1"/>
    <w:link w:val="985"/>
    <w:rPr>
      <w:sz w:val="28"/>
    </w:rPr>
  </w:style>
  <w:style w:type="paragraph" w:styleId="1042" w:customStyle="1">
    <w:name w:val="Абзац списка1"/>
    <w:basedOn w:val="76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43" w:customStyle="1">
    <w:name w:val="Текст сноски Знак"/>
    <w:link w:val="969"/>
    <w:uiPriority w:val="99"/>
  </w:style>
  <w:style w:type="numbering" w:styleId="1044" w:customStyle="1">
    <w:name w:val="Стиль1"/>
    <w:uiPriority w:val="99"/>
    <w:pPr>
      <w:numPr>
        <w:ilvl w:val="0"/>
        <w:numId w:val="3"/>
      </w:numPr>
    </w:pPr>
  </w:style>
  <w:style w:type="paragraph" w:styleId="1045" w:customStyle="1">
    <w:name w:val="Таблица"/>
    <w:basedOn w:val="76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46" w:customStyle="1">
    <w:name w:val="Основной текст Знак"/>
    <w:link w:val="979"/>
    <w:rPr>
      <w:sz w:val="28"/>
      <w:szCs w:val="28"/>
    </w:rPr>
  </w:style>
  <w:style w:type="character" w:styleId="1047" w:customStyle="1">
    <w:name w:val="blk"/>
  </w:style>
  <w:style w:type="numbering" w:styleId="1048" w:customStyle="1">
    <w:name w:val="Стиль2"/>
    <w:uiPriority w:val="99"/>
    <w:pPr>
      <w:numPr>
        <w:ilvl w:val="0"/>
        <w:numId w:val="5"/>
      </w:numPr>
    </w:pPr>
  </w:style>
  <w:style w:type="paragraph" w:styleId="1049" w:customStyle="1">
    <w:name w:val="Таблица шапка"/>
    <w:basedOn w:val="769"/>
    <w:pPr>
      <w:ind w:left="57" w:right="57"/>
      <w:keepNext/>
      <w:spacing w:before="40" w:after="40"/>
    </w:pPr>
    <w:rPr>
      <w:sz w:val="22"/>
      <w:szCs w:val="26"/>
    </w:rPr>
  </w:style>
  <w:style w:type="character" w:styleId="1050" w:customStyle="1">
    <w:name w:val="Абзац списка Знак"/>
    <w:link w:val="1020"/>
    <w:uiPriority w:val="34"/>
    <w:rPr>
      <w:rFonts w:eastAsia="Calibri"/>
      <w:sz w:val="24"/>
      <w:szCs w:val="24"/>
    </w:rPr>
  </w:style>
  <w:style w:type="character" w:styleId="1051" w:customStyle="1">
    <w:name w:val="комментарий"/>
    <w:rPr>
      <w:b/>
      <w:i/>
      <w:shd w:val="clear" w:color="auto" w:fill="ffff99"/>
    </w:rPr>
  </w:style>
  <w:style w:type="paragraph" w:styleId="1052" w:customStyle="1">
    <w:name w:val="Подподпункт"/>
    <w:basedOn w:val="985"/>
    <w:link w:val="105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53" w:customStyle="1">
    <w:name w:val="Подподпункт Знак"/>
    <w:link w:val="1052"/>
    <w:rPr>
      <w:sz w:val="26"/>
      <w:szCs w:val="26"/>
    </w:rPr>
  </w:style>
  <w:style w:type="paragraph" w:styleId="1054" w:customStyle="1">
    <w:name w:val="УРОВЕНЬ_(а)"/>
    <w:basedOn w:val="102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55" w:customStyle="1">
    <w:name w:val="УРОВЕНЬ_-"/>
    <w:basedOn w:val="102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56" w:customStyle="1">
    <w:name w:val="УРОВЕНЬ_Абзац_тип2"/>
    <w:basedOn w:val="102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7" w:customStyle="1">
    <w:name w:val="УРОВЕНЬ_Абзац_тип3"/>
    <w:basedOn w:val="1020"/>
    <w:link w:val="105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8" w:customStyle="1">
    <w:name w:val="УРОВЕНЬ_Подпись"/>
    <w:basedOn w:val="102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59" w:customStyle="1">
    <w:name w:val="УРОВЕНЬ_Абзац_тип3 Знак"/>
    <w:link w:val="1057"/>
    <w:rPr>
      <w:rFonts w:eastAsia="Calibri"/>
      <w:sz w:val="26"/>
      <w:szCs w:val="28"/>
      <w:lang w:eastAsia="en-US"/>
    </w:rPr>
  </w:style>
  <w:style w:type="character" w:styleId="1060" w:customStyle="1">
    <w:name w:val="Верхний колонтитул Знак"/>
    <w:link w:val="975"/>
    <w:uiPriority w:val="99"/>
    <w:rPr>
      <w:sz w:val="24"/>
      <w:szCs w:val="24"/>
    </w:rPr>
  </w:style>
  <w:style w:type="character" w:styleId="1061" w:customStyle="1">
    <w:name w:val="Текст примечания Знак"/>
    <w:link w:val="996"/>
    <w:uiPriority w:val="99"/>
    <w:semiHidden/>
  </w:style>
  <w:style w:type="paragraph" w:styleId="1062" w:customStyle="1">
    <w:name w:val="Стиль Заголовок 1 + по ширине"/>
    <w:basedOn w:val="77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63">
    <w:name w:val="endnote text"/>
    <w:basedOn w:val="769"/>
    <w:link w:val="1064"/>
    <w:rPr>
      <w:sz w:val="20"/>
      <w:szCs w:val="20"/>
    </w:rPr>
  </w:style>
  <w:style w:type="character" w:styleId="1064" w:customStyle="1">
    <w:name w:val="Текст концевой сноски Знак"/>
    <w:basedOn w:val="779"/>
    <w:link w:val="1063"/>
  </w:style>
  <w:style w:type="character" w:styleId="1065">
    <w:name w:val="endnote reference"/>
    <w:basedOn w:val="779"/>
    <w:rPr>
      <w:vertAlign w:val="superscript"/>
    </w:rPr>
  </w:style>
  <w:style w:type="paragraph" w:styleId="1066" w:customStyle="1">
    <w:name w:val="Заголовок 2 КВВ"/>
    <w:basedOn w:val="76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67" w:customStyle="1">
    <w:name w:val="Пункт2 Знак"/>
    <w:link w:val="986"/>
    <w:rPr>
      <w:b/>
      <w:sz w:val="28"/>
    </w:rPr>
  </w:style>
  <w:style w:type="paragraph" w:styleId="1068" w:customStyle="1">
    <w:name w:val="Таблица текст"/>
    <w:basedOn w:val="769"/>
    <w:pPr>
      <w:ind w:left="57" w:right="57"/>
      <w:spacing w:before="40" w:after="40"/>
    </w:pPr>
    <w:rPr>
      <w:sz w:val="24"/>
      <w:szCs w:val="26"/>
    </w:rPr>
  </w:style>
  <w:style w:type="paragraph" w:styleId="1069">
    <w:name w:val="Normal (Web)"/>
    <w:basedOn w:val="76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70" w:customStyle="1">
    <w:name w:val="УРОВЕНЬ_1."/>
    <w:basedOn w:val="1020"/>
    <w:link w:val="107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71" w:customStyle="1">
    <w:name w:val="УРОВЕНЬ_1. Знак"/>
    <w:link w:val="1070"/>
    <w:rPr>
      <w:rFonts w:eastAsia="Calibri"/>
      <w:caps/>
      <w:sz w:val="28"/>
      <w:szCs w:val="28"/>
      <w:lang w:eastAsia="en-US"/>
    </w:rPr>
  </w:style>
  <w:style w:type="table" w:styleId="1072" w:customStyle="1">
    <w:name w:val="Сетка таблицы1"/>
    <w:basedOn w:val="780"/>
    <w:next w:val="97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3">
    <w:name w:val="toc 6"/>
    <w:basedOn w:val="769"/>
    <w:next w:val="76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4">
    <w:name w:val="toc 7"/>
    <w:basedOn w:val="769"/>
    <w:next w:val="76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75">
    <w:name w:val="toc 8"/>
    <w:basedOn w:val="769"/>
    <w:next w:val="76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76" w:customStyle="1">
    <w:name w:val="Неразрешенное упоминание1"/>
    <w:basedOn w:val="779"/>
    <w:uiPriority w:val="99"/>
    <w:semiHidden/>
    <w:unhideWhenUsed/>
    <w:rPr>
      <w:color w:val="605e5c"/>
      <w:shd w:val="clear" w:color="auto" w:fill="e1dfdd"/>
    </w:rPr>
  </w:style>
  <w:style w:type="character" w:styleId="1077" w:customStyle="1">
    <w:name w:val="Основной текст с отступом 3 Знак"/>
    <w:link w:val="982"/>
    <w:uiPriority w:val="99"/>
    <w:rPr>
      <w:sz w:val="16"/>
      <w:szCs w:val="16"/>
    </w:rPr>
  </w:style>
  <w:style w:type="character" w:styleId="1078" w:customStyle="1">
    <w:name w:val="Нижний колонтитул Знак"/>
    <w:link w:val="978"/>
    <w:uiPriority w:val="99"/>
    <w:rPr>
      <w:sz w:val="28"/>
      <w:szCs w:val="28"/>
    </w:rPr>
  </w:style>
  <w:style w:type="paragraph" w:styleId="1079" w:customStyle="1">
    <w:name w:val="ТЕКСТ"/>
    <w:basedOn w:val="976"/>
    <w:link w:val="1080"/>
    <w:qFormat/>
    <w:pPr>
      <w:contextualSpacing/>
      <w:ind w:left="0" w:firstLine="851"/>
      <w:jc w:val="both"/>
      <w:spacing w:line="288" w:lineRule="auto"/>
    </w:pPr>
    <w:rPr>
      <w:rFonts w:ascii="Arial" w:hAnsi="Arial"/>
      <w:szCs w:val="20"/>
      <w:lang w:eastAsia="en-US"/>
    </w:rPr>
  </w:style>
  <w:style w:type="character" w:styleId="1080" w:customStyle="1">
    <w:name w:val="ТЕКСТ Знак"/>
    <w:basedOn w:val="779"/>
    <w:link w:val="1079"/>
    <w:rPr>
      <w:rFonts w:ascii="Arial" w:hAnsi="Arial"/>
      <w:sz w:val="24"/>
      <w:lang w:eastAsia="en-US"/>
    </w:rPr>
  </w:style>
  <w:style w:type="paragraph" w:styleId="1081" w:customStyle="1">
    <w:name w:val="дефис (перечисление)"/>
    <w:next w:val="1079"/>
    <w:qFormat/>
    <w:pPr>
      <w:numPr>
        <w:ilvl w:val="0"/>
        <w:numId w:val="17"/>
      </w:numPr>
      <w:jc w:val="both"/>
      <w:spacing w:line="288" w:lineRule="auto"/>
    </w:pPr>
    <w:rPr>
      <w:rFonts w:ascii="Arial" w:hAnsi="Arial"/>
      <w:sz w:val="24"/>
      <w:lang w:eastAsia="en-US"/>
    </w:rPr>
  </w:style>
  <w:style w:type="paragraph" w:styleId="1082" w:customStyle="1">
    <w:name w:val="formattext"/>
    <w:basedOn w:val="769"/>
    <w:pPr>
      <w:spacing w:before="100" w:beforeAutospacing="1" w:after="100" w:afterAutospacing="1"/>
    </w:pPr>
    <w:rPr>
      <w:sz w:val="24"/>
      <w:szCs w:val="24"/>
    </w:rPr>
  </w:style>
  <w:style w:type="character" w:styleId="1083" w:customStyle="1">
    <w:name w:val="Основной текст (2)_"/>
    <w:link w:val="1084"/>
    <w:rPr>
      <w:sz w:val="22"/>
      <w:szCs w:val="22"/>
      <w:shd w:val="clear" w:color="auto" w:fill="ffffff"/>
    </w:rPr>
  </w:style>
  <w:style w:type="paragraph" w:styleId="1084" w:customStyle="1">
    <w:name w:val="Основной текст (2)"/>
    <w:basedOn w:val="769"/>
    <w:link w:val="1083"/>
    <w:pPr>
      <w:jc w:val="both"/>
      <w:spacing w:line="281" w:lineRule="exact"/>
      <w:shd w:val="clear" w:color="auto" w:fill="ffffff"/>
      <w:widowControl w:val="off"/>
    </w:pPr>
    <w:rPr>
      <w:sz w:val="22"/>
      <w:szCs w:val="22"/>
    </w:rPr>
  </w:style>
  <w:style w:type="paragraph" w:styleId="1085" w:customStyle="1">
    <w:name w:val="Table Paragraph"/>
    <w:basedOn w:val="769"/>
    <w:uiPriority w:val="1"/>
    <w:qFormat/>
    <w:pPr>
      <w:ind w:left="107"/>
      <w:widowControl w:val="off"/>
    </w:pPr>
    <w:rPr>
      <w:sz w:val="22"/>
      <w:szCs w:val="22"/>
      <w:lang w:eastAsia="en-US"/>
    </w:rPr>
  </w:style>
  <w:style w:type="paragraph" w:styleId="1086" w:customStyle="1">
    <w:name w:val="Основной текст (4)"/>
    <w:basedOn w:val="890"/>
    <w:qFormat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180" w:afterAutospacing="0" w:line="0" w:lineRule="atLeas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7" w:customStyle="1">
    <w:name w:val="Заголовок 41"/>
    <w:link w:val="936"/>
    <w:qFormat/>
    <w:pPr>
      <w:numPr>
        <w:ilvl w:val="0"/>
        <w:numId w:val="0"/>
      </w:numPr>
      <w:contextualSpacing w:val="0"/>
      <w:ind w:left="1440" w:right="0" w:hanging="720"/>
      <w:jc w:val="left"/>
      <w:keepLines w:val="0"/>
      <w:keepNext/>
      <w:pageBreakBefore w:val="0"/>
      <w:spacing w:before="120" w:beforeAutospacing="0" w:after="60" w:afterAutospacing="0" w:line="240" w:lineRule="auto"/>
      <w:shd w:val="nil"/>
      <w:widowControl/>
      <w:tabs>
        <w:tab w:val="num" w:pos="1440" w:leader="none"/>
        <w:tab w:val="num" w:pos="21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8" w:customStyle="1">
    <w:name w:val="Абзац списка"/>
    <w:next w:val="801"/>
    <w:qFormat/>
    <w:pPr>
      <w:contextualSpacing w:val="0"/>
      <w:ind w:left="708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SimSu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89" w:customStyle="1">
    <w:name w:val="Содержимое таблицы"/>
    <w:next w:val="80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8/08/relationships/commentsExtensible" Target="commentsExtensible.xml" /><Relationship Id="rId14" Type="http://schemas.microsoft.com/office/2016/09/relationships/commentsIds" Target="commentsIds.xml" /><Relationship Id="rId15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korneva_oa</cp:lastModifiedBy>
  <cp:revision>248</cp:revision>
  <dcterms:created xsi:type="dcterms:W3CDTF">2021-04-04T09:36:00Z</dcterms:created>
  <dcterms:modified xsi:type="dcterms:W3CDTF">2026-05-13T01:56:39Z</dcterms:modified>
</cp:coreProperties>
</file>